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nhs_dsd_reference_source_pool_optional_b"/>
      <w:r>
        <w:rPr>
          <w:b/>
          <w:sz w:val="40"/>
          <w:szCs w:val="40"/>
        </w:rPr>
        <w:t xml:space="preserve">NHS DSD Reference Source Pool — Optional Background</w:t>
      </w:r>
      <w:bookmarkEnd w:id="1"/>
    </w:p>
    <w:p>
      <w:r>
        <w:t xml:space="preserve"/>
      </w:r>
    </w:p>
    <w:p>
      <w:r>
        <w:t xml:space="preserve">Date: Tuesday 15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is an optional source pool of NHS / NHS England / NHS Trust references used when researching and organising the DSD-related supporting material.</w:t>
      </w:r>
    </w:p>
    <w:p>
      <w:r>
        <w:t xml:space="preserve"/>
      </w:r>
    </w:p>
    <w:p>
      <w:r>
        <w:t xml:space="preserve">Its purpose is to preserve the official-source trail behind the patient-prepared DSD material and to make those sources easy to revisit if a clinical feature, test result, or referral question needs checking.</w:t>
      </w:r>
    </w:p>
    <w:p>
      <w:r>
        <w:t xml:space="preserve"/>
      </w:r>
    </w:p>
    <w:p>
      <w:r>
        <w:t xml:space="preserve">This is not a diagnostic document and does not attempt to establish that any specific DSD condition is present.</w:t>
      </w:r>
    </w:p>
    <w:p>
      <w:r>
        <w:t xml:space="preserve"/>
      </w:r>
    </w:p>
    <w:p>
      <w:r>
        <w:t xml:space="preserve">The reference library intentionally prioritises:</w:t>
      </w:r>
    </w:p>
    <w:p>
      <w:pPr>
        <w:ind w:left="360" w:hanging="180"/>
        <w:spacing w:after="40"/>
      </w:pPr>
      <w:r>
        <w:t xml:space="preserve">• </w:t>
      </w:r>
      <w:r>
        <w:t xml:space="preserve">NHS</w:t>
      </w:r>
    </w:p>
    <w:p>
      <w:pPr>
        <w:ind w:left="360" w:hanging="180"/>
        <w:spacing w:after="40"/>
      </w:pPr>
      <w:r>
        <w:t xml:space="preserve">• </w:t>
      </w:r>
      <w:r>
        <w:t xml:space="preserve">NHS England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 / GeNotes</w:t>
      </w:r>
    </w:p>
    <w:p>
      <w:pPr>
        <w:ind w:left="360" w:hanging="180"/>
        <w:spacing w:after="40"/>
      </w:pPr>
      <w:r>
        <w:t xml:space="preserve">• </w:t>
      </w:r>
      <w:r>
        <w:t xml:space="preserve">NHS Trust specialist services, including </w:t>
      </w:r>
      <w:r>
        <w:rPr>
          <w:b/>
        </w:rPr>
        <w:t xml:space="preserve">University College London Hospitals NHS Foundation Trust (UCLH)</w:t>
      </w:r>
      <w:r>
        <w:t xml:space="preserve">, </w:t>
      </w:r>
      <w:r>
        <w:rPr>
          <w:b/>
        </w:rPr>
        <w:t xml:space="preserve">Cambridge University Hospitals NHS Foundation Trust (CUH)</w:t>
      </w:r>
      <w:r>
        <w:t xml:space="preserve"> and Imperial College Healthcare NHS Trust</w:t>
      </w:r>
    </w:p>
    <w:p>
      <w:r>
        <w:t xml:space="preserve"/>
      </w:r>
    </w:p>
    <w:p>
      <w:r>
        <w:t xml:space="preserve">Future personal clinical comparisons should be kept separate from this reference document and should only cross-reference the relevant sections below.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This reference library keeps three functions separate: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official NHS / NHS specialist references;</w:t>
      </w:r>
    </w:p>
    <w:p>
      <w:pPr>
        <w:ind w:left="360" w:hanging="180"/>
        <w:spacing w:after="40"/>
      </w:pPr>
      <w:r>
        <w:t xml:space="preserve">• </w:t>
      </w:r>
      <w:r>
        <w:t xml:space="preserve">personal clinical observations and possible feature matching;</w:t>
      </w:r>
    </w:p>
    <w:p>
      <w:pPr>
        <w:ind w:left="360" w:hanging="180"/>
        <w:spacing w:after="40"/>
      </w:pPr>
      <w:r>
        <w:t xml:space="preserve">• </w:t>
      </w:r>
      <w:r>
        <w:t xml:space="preserve">GP referral requests.</w:t>
      </w:r>
    </w:p>
    <w:p>
      <w:r>
        <w:t xml:space="preserve"/>
      </w:r>
    </w:p>
    <w:p>
      <w:r>
        <w:t xml:space="preserve">This document is the optional </w:t>
      </w:r>
      <w:r>
        <w:rPr>
          <w:b/>
        </w:rPr>
        <w:t xml:space="preserve">official-source layer</w:t>
      </w:r>
      <w:r>
        <w:t xml:space="preserve">.</w:t>
      </w:r>
    </w:p>
    <w:p>
      <w:r>
        <w:t xml:space="preserve"/>
      </w:r>
    </w:p>
    <w:p>
      <w:r>
        <w:t xml:space="preserve">Related documents should use the following structure: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NHS DSD Reference Source Pool — Optional Background</w:t>
      </w:r>
      <w:r>
        <w:t xml:space="preserve"> — the official NHS / NHS specialist sources used.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Detailed DSD Clinical Background and Feature Cross-Reference</w:t>
      </w:r>
      <w:r>
        <w:t xml:space="preserve"> — the patient-prepared DSD-related personal background and feature comparison.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GP Cover Letter — Adult DSD Referral</w:t>
      </w:r>
      <w:r>
        <w:t xml:space="preserve"> — the referral-focused request.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Existing topic records / Long-Term Health Summary</w:t>
      </w:r>
      <w:r>
        <w:t xml:space="preserve"> — detailed chronology and wider clinical history.</w:t>
      </w:r>
    </w:p>
    <w:p>
      <w:r>
        <w:t xml:space="preserve"/>
      </w:r>
    </w:p>
    <w:p>
      <w:r>
        <w:t xml:space="preserve">This structure avoids repeatedly rewriting long personal histories whenever NHS guidance or a new clinical observation needs to be reviewed.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section_1_core_dsd_overview_and_adult_pr"/>
      <w:r>
        <w:rPr>
          <w:b/>
          <w:sz w:val="32"/>
          <w:szCs w:val="32"/>
        </w:rPr>
        <w:t xml:space="preserve">1. Core DSD overview and adult presentation</w:t>
      </w:r>
      <w:bookmarkEnd w:id="5"/>
    </w:p>
    <w:p>
      <w:r>
        <w:t xml:space="preserve"/>
      </w:r>
    </w:p>
    <w:p>
      <w:pPr>
        <w:spacing w:before="120" w:after="80"/>
      </w:pPr>
      <w:bookmarkStart w:id="6" w:name="section_11_nhs_england_genotes_differenc"/>
      <w:r>
        <w:rPr>
          <w:b/>
          <w:sz w:val="28"/>
          <w:szCs w:val="28"/>
        </w:rPr>
        <w:t xml:space="preserve">1.1 NHS England GeNotes — Differences in sex development</w:t>
      </w:r>
      <w:bookmarkEnd w:id="6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DSD clinical features;</w:t>
      </w:r>
    </w:p>
    <w:p>
      <w:pPr>
        <w:ind w:left="360" w:hanging="180"/>
        <w:spacing w:after="40"/>
      </w:pPr>
      <w:r>
        <w:t xml:space="preserve">• </w:t>
      </w:r>
      <w:r>
        <w:t xml:space="preserve">chromosomal, gonadal, hormonal and anatomical development;</w:t>
      </w:r>
    </w:p>
    <w:p>
      <w:pPr>
        <w:ind w:left="360" w:hanging="180"/>
        <w:spacing w:after="40"/>
      </w:pPr>
      <w:r>
        <w:t xml:space="preserve">• </w:t>
      </w:r>
      <w:r>
        <w:t xml:space="preserve">visible or clinically identifiable features that may prompt further assessment.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1">
        <w:r>
          <w:t xml:space="preserve">https://www.genomicseducation.hee.nhs.uk/genotes/knowledge-hub/differences-in-sex-development/</w:t>
        </w:r>
      </w:hyperlink>
    </w:p>
    <w:p>
      <w:r>
        <w:t xml:space="preserve"/>
      </w:r>
    </w:p>
    <w:p>
      <w:r>
        <w:t xml:space="preserve">Useful for future comparison with:</w:t>
      </w:r>
    </w:p>
    <w:p>
      <w:pPr>
        <w:ind w:left="360" w:hanging="180"/>
        <w:spacing w:after="40"/>
      </w:pPr>
      <w:r>
        <w:t xml:space="preserve">• </w:t>
      </w:r>
      <w:r>
        <w:t xml:space="preserve">micropenis or enlarged clitoris;</w:t>
      </w:r>
    </w:p>
    <w:p>
      <w:pPr>
        <w:ind w:left="360" w:hanging="180"/>
        <w:spacing w:after="40"/>
      </w:pPr>
      <w:r>
        <w:t xml:space="preserve">• </w:t>
      </w:r>
      <w:r>
        <w:t xml:space="preserve">undescended gonads;</w:t>
      </w:r>
    </w:p>
    <w:p>
      <w:pPr>
        <w:ind w:left="360" w:hanging="180"/>
        <w:spacing w:after="40"/>
      </w:pPr>
      <w:r>
        <w:t xml:space="preserve">• </w:t>
      </w:r>
      <w:r>
        <w:t xml:space="preserve">hypospadias / chordee;</w:t>
      </w:r>
    </w:p>
    <w:p>
      <w:pPr>
        <w:ind w:left="360" w:hanging="180"/>
        <w:spacing w:after="40"/>
      </w:pPr>
      <w:r>
        <w:t xml:space="preserve">• </w:t>
      </w:r>
      <w:r>
        <w:t xml:space="preserve">failure to thrive;</w:t>
      </w:r>
    </w:p>
    <w:p>
      <w:pPr>
        <w:ind w:left="360" w:hanging="180"/>
        <w:spacing w:after="40"/>
      </w:pPr>
      <w:r>
        <w:t xml:space="preserve">• </w:t>
      </w:r>
      <w:r>
        <w:t xml:space="preserve">hyponatraemia / dehydration;</w:t>
      </w:r>
    </w:p>
    <w:p>
      <w:pPr>
        <w:ind w:left="360" w:hanging="180"/>
        <w:spacing w:after="40"/>
      </w:pPr>
      <w:r>
        <w:t xml:space="preserve">• </w:t>
      </w:r>
      <w:r>
        <w:t xml:space="preserve">atypical growth patterns;</w:t>
      </w:r>
    </w:p>
    <w:p>
      <w:pPr>
        <w:ind w:left="360" w:hanging="180"/>
        <w:spacing w:after="40"/>
      </w:pPr>
      <w:r>
        <w:t xml:space="preserve">• </w:t>
      </w:r>
      <w:r>
        <w:t xml:space="preserve">gynaecomastia;</w:t>
      </w:r>
    </w:p>
    <w:p>
      <w:pPr>
        <w:ind w:left="360" w:hanging="180"/>
        <w:spacing w:after="40"/>
      </w:pPr>
      <w:r>
        <w:t xml:space="preserve">• </w:t>
      </w:r>
      <w:r>
        <w:t xml:space="preserve">infertility;</w:t>
      </w:r>
    </w:p>
    <w:p>
      <w:pPr>
        <w:ind w:left="360" w:hanging="180"/>
        <w:spacing w:after="40"/>
      </w:pPr>
      <w:r>
        <w:t xml:space="preserve">• </w:t>
      </w:r>
      <w:r>
        <w:t xml:space="preserve">other DSD-related developmental or pubertal findings.</w:t>
      </w:r>
    </w:p>
    <w:p>
      <w:r>
        <w:t xml:space="preserve"/>
      </w:r>
    </w:p>
    <w:p>
      <w:pPr>
        <w:spacing w:before="120" w:after="80"/>
      </w:pPr>
      <w:bookmarkStart w:id="7" w:name="section_12_nhs_differences_in_sex_develo"/>
      <w:r>
        <w:rPr>
          <w:b/>
          <w:sz w:val="28"/>
          <w:szCs w:val="28"/>
        </w:rPr>
        <w:t xml:space="preserve">1.2 NHS — Differences in sex development</w:t>
      </w:r>
      <w:bookmarkEnd w:id="7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patient-facing NHS explanation;</w:t>
      </w:r>
    </w:p>
    <w:p>
      <w:pPr>
        <w:ind w:left="360" w:hanging="180"/>
        <w:spacing w:after="40"/>
      </w:pPr>
      <w:r>
        <w:t xml:space="preserve">• </w:t>
      </w:r>
      <w:r>
        <w:t xml:space="preserve">adult first presentation;</w:t>
      </w:r>
    </w:p>
    <w:p>
      <w:pPr>
        <w:ind w:left="360" w:hanging="180"/>
        <w:spacing w:after="40"/>
      </w:pPr>
      <w:r>
        <w:t xml:space="preserve">• </w:t>
      </w:r>
      <w:r>
        <w:t xml:space="preserve">GP and specialist referral pathway.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2">
        <w:r>
          <w:t xml:space="preserve">https://www.nhs.uk/conditions/differences-in-sex-development/</w:t>
        </w:r>
      </w:hyperlink>
    </w:p>
    <w:p>
      <w:r>
        <w:t xml:space="preserve"/>
      </w:r>
    </w:p>
    <w:p>
      <w:r>
        <w:t xml:space="preserve">Important 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adults who think they may have a DSD can discuss this with a GP, who can consider referral to an appropriate specialist team.</w:t>
      </w:r>
    </w:p>
    <w:p>
      <w:r>
        <w:t xml:space="preserve"/>
      </w:r>
    </w:p>
    <w:p>
      <w:pPr>
        <w:spacing w:before="120" w:after="80"/>
      </w:pPr>
      <w:bookmarkStart w:id="8" w:name="section_2_current_nhs_genomic_testing_ro"/>
      <w:r>
        <w:rPr>
          <w:b/>
          <w:sz w:val="32"/>
          <w:szCs w:val="32"/>
        </w:rPr>
        <w:t xml:space="preserve">2. Current NHS genomic testing routes</w:t>
      </w:r>
      <w:bookmarkEnd w:id="8"/>
    </w:p>
    <w:p>
      <w:r>
        <w:t xml:space="preserve"/>
      </w:r>
    </w:p>
    <w:p>
      <w:pPr>
        <w:spacing w:before="120" w:after="80"/>
      </w:pPr>
      <w:bookmarkStart w:id="9" w:name="section_21_nhs_england_national_genomic_"/>
      <w:r>
        <w:rPr>
          <w:b/>
          <w:sz w:val="28"/>
          <w:szCs w:val="28"/>
        </w:rPr>
        <w:t xml:space="preserve">2.1 NHS England National Genomic Test Directory</w:t>
      </w:r>
      <w:bookmarkEnd w:id="9"/>
    </w:p>
    <w:p>
      <w:r>
        <w:t xml:space="preserve"/>
      </w:r>
    </w:p>
    <w:p>
      <w:r>
        <w:t xml:space="preserve">Current reference versions: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National Genomic Test Directory for Rare and Inherited Disease — Version 9 (8 April 2026)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Rare and Inherited Disease Eligibility Criteria — Version 9.1 (20 May 2026)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National Genomic Test Directories</w:t>
      </w:r>
    </w:p>
    <w:p>
      <w:pPr>
        <w:ind w:left="360" w:hanging="180"/>
        <w:spacing w:after="40"/>
      </w:pPr>
      <w:r>
        <w:t xml:space="preserve">• </w:t>
      </w:r>
      <w:hyperlink r:id="rId3">
        <w:r>
          <w:t xml:space="preserve">https://www.england.nhs.uk/publication/national-genomic-test-directories/</w:t>
        </w:r>
      </w:hyperlink>
    </w:p>
    <w:p>
      <w:r>
        <w:t xml:space="preserve"/>
      </w:r>
    </w:p>
    <w:p>
      <w:r>
        <w:t xml:space="preserve">Relevant current clinical indications for future review: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R146 — Differences in sex development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— Hypogonadotropic hypogonadism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R150 — Congenital adrenal hypoplasia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— Congenital adrenal hyperplasia diagnostic test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R402 — Premature ovarian insufficiency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R160 — Primary pigmented nodular adrenocortical disease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R314 — Ambiguous genitalia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— Possible sex chromosome aneuploidy or structural rearrangement</w:t>
      </w:r>
    </w:p>
    <w:p>
      <w:r>
        <w:t xml:space="preserve"/>
      </w:r>
    </w:p>
    <w:p>
      <w:r>
        <w:t xml:space="preserve">Historical note: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R297 Possible structural chromosomal rearrangement — karyotype</w:t>
      </w:r>
      <w:r>
        <w:t xml:space="preserve"> was retired in the April 2026 update and replaced by more specific indications. For sex-chromosome aneuploidy or structural rearrangement, the current relevant route is </w:t>
      </w:r>
      <w:r>
        <w:rPr>
          <w:b/>
        </w:rPr>
        <w:t xml:space="preserve">R468</w:t>
      </w:r>
      <w:r>
        <w:t xml:space="preserve">.</w:t>
      </w:r>
    </w:p>
    <w:p>
      <w:r>
        <w:t xml:space="preserve"/>
      </w:r>
    </w:p>
    <w:p>
      <w:r>
        <w:t xml:space="preserve">Navigation rule:</w:t>
      </w:r>
    </w:p>
    <w:p>
      <w:pPr>
        <w:ind w:left="360" w:hanging="180"/>
        <w:spacing w:after="40"/>
      </w:pPr>
      <w:r>
        <w:t xml:space="preserve">• </w:t>
      </w:r>
      <w:r>
        <w:t xml:space="preserve">do not rely on page numbers or eligibility wording copied from Version 7;</w:t>
      </w:r>
    </w:p>
    <w:p>
      <w:pPr>
        <w:ind w:left="360" w:hanging="180"/>
        <w:spacing w:after="40"/>
      </w:pPr>
      <w:r>
        <w:t xml:space="preserve">• </w:t>
      </w:r>
      <w:r>
        <w:t xml:space="preserve">use the current Version 9 / 9.1 criteria when performing future feature comparisons.</w:t>
      </w:r>
    </w:p>
    <w:p>
      <w:r>
        <w:t xml:space="preserve"/>
      </w:r>
    </w:p>
    <w:p>
      <w:r>
        <w:t xml:space="preserve">Navigation summaries: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R146 — Differences in sex development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recorded a confirmed 46,XX or 46,XY karyotype as part of the testing framework, together with at least one listed clinical trigger;</w:t>
      </w:r>
    </w:p>
    <w:p>
      <w:pPr>
        <w:ind w:left="720" w:hanging="180"/>
        <w:spacing w:after="40"/>
      </w:pPr>
      <w:r>
        <w:t xml:space="preserve">• </w:t>
      </w:r>
      <w:r>
        <w:t xml:space="preserve">example triggers recorded in the earlier draft included ambiguous genitalia, evidence of gonadal dysgenesis and under-virilisation in an individual assigned male at birth;</w:t>
      </w:r>
    </w:p>
    <w:p>
      <w:pPr>
        <w:ind w:left="720" w:hanging="180"/>
        <w:spacing w:after="40"/>
      </w:pPr>
      <w:r>
        <w:t xml:space="preserve">• </w:t>
      </w:r>
      <w:r>
        <w:t xml:space="preserve">these points are navigation aids only and the current Version 9 / 9.1 wording must be checked before any formal eligibility statement is made.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— Hypogonadotropic hypogonadism</w:t>
      </w:r>
    </w:p>
    <w:p>
      <w:pPr>
        <w:ind w:left="720" w:hanging="180"/>
        <w:spacing w:after="40"/>
      </w:pPr>
      <w:r>
        <w:t xml:space="preserve">• </w:t>
      </w:r>
      <w:r>
        <w:t xml:space="preserve">relevant when congenital / genetic hypogonadotropic hypogonadism is being considered;</w:t>
      </w:r>
    </w:p>
    <w:p>
      <w:pPr>
        <w:ind w:left="720" w:hanging="180"/>
        <w:spacing w:after="40"/>
      </w:pPr>
      <w:r>
        <w:t xml:space="preserve">• </w:t>
      </w:r>
      <w:r>
        <w:t xml:space="preserve">should be interpreted together with clinical puberty history and hormone results.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R150 — Congenital adrenal hypoplasia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identified adrenal insufficiency as the central clinical context;</w:t>
      </w:r>
    </w:p>
    <w:p>
      <w:pPr>
        <w:ind w:left="720" w:hanging="180"/>
        <w:spacing w:after="40"/>
      </w:pPr>
      <w:r>
        <w:t xml:space="preserve">• </w:t>
      </w:r>
      <w:r>
        <w:t xml:space="preserve">this route should not be inferred from nonspecific symptoms alone.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— Congenital adrenal hyperplasia diagnostic test</w:t>
      </w:r>
    </w:p>
    <w:p>
      <w:pPr>
        <w:ind w:left="720" w:hanging="180"/>
        <w:spacing w:after="40"/>
      </w:pPr>
      <w:r>
        <w:t xml:space="preserve">• </w:t>
      </w:r>
      <w:r>
        <w:t xml:space="preserve">the current working summary records biochemically diagnosed CAH as an important prerequisite;</w:t>
      </w:r>
    </w:p>
    <w:p>
      <w:pPr>
        <w:ind w:left="720" w:hanging="180"/>
        <w:spacing w:after="40"/>
      </w:pPr>
      <w:r>
        <w:t xml:space="preserve">• </w:t>
      </w:r>
      <w:r>
        <w:t xml:space="preserve">the current criteria include age- and presentation-specific pathways, including some adult presentations.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R402 — Premature ovarian insufficiency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records this as a multi-criterion indication rather than a single-feature test route;</w:t>
      </w:r>
    </w:p>
    <w:p>
      <w:pPr>
        <w:ind w:left="720" w:hanging="180"/>
        <w:spacing w:after="40"/>
      </w:pPr>
      <w:r>
        <w:t xml:space="preserve">• </w:t>
      </w:r>
      <w:r>
        <w:t xml:space="preserve">current Version 9 / 9.1 wording should be checked before any eligibility conclusion.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R160 — Primary pigmented nodular adrenocortical disease</w:t>
      </w:r>
    </w:p>
    <w:p>
      <w:pPr>
        <w:ind w:left="720" w:hanging="180"/>
        <w:spacing w:after="40"/>
      </w:pPr>
      <w:r>
        <w:t xml:space="preserve">• </w:t>
      </w:r>
      <w:r>
        <w:t xml:space="preserve">the earlier working summary records either primary pigmented nodular adrenocortical disease or a clinical diagnosis of ACTH-independent Cushing syndrome of unknown aetiology as the relevant context.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R314 — Ambiguous genitalia</w:t>
      </w:r>
    </w:p>
    <w:p>
      <w:pPr>
        <w:ind w:left="720" w:hanging="180"/>
        <w:spacing w:after="40"/>
      </w:pPr>
      <w:r>
        <w:t xml:space="preserve">• </w:t>
      </w:r>
      <w:r>
        <w:t xml:space="preserve">current navigation route for chromosome-level assessment where ambiguous genitalia is clinically identified;</w:t>
      </w:r>
    </w:p>
    <w:p>
      <w:pPr>
        <w:ind w:left="720" w:hanging="180"/>
        <w:spacing w:after="40"/>
      </w:pPr>
      <w:r>
        <w:t xml:space="preserve">• </w:t>
      </w:r>
      <w:r>
        <w:t xml:space="preserve">whether genital anatomy meets this clinical description requires professional assessment.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— Possible sex chromosome aneuploidy or structural rearrangement</w:t>
      </w:r>
    </w:p>
    <w:p>
      <w:pPr>
        <w:ind w:left="720" w:hanging="180"/>
        <w:spacing w:after="40"/>
      </w:pPr>
      <w:r>
        <w:t xml:space="preserve">• </w:t>
      </w:r>
      <w:r>
        <w:t xml:space="preserve">current route relevant to clinical suspicion of sex-chromosome aneuploidy, mosaicism or structural rearrangement;</w:t>
      </w:r>
    </w:p>
    <w:p>
      <w:pPr>
        <w:ind w:left="720" w:hanging="180"/>
        <w:spacing w:after="40"/>
      </w:pPr>
      <w:r>
        <w:t xml:space="preserve">• </w:t>
      </w:r>
      <w:r>
        <w:t xml:space="preserve">replaced the earlier use of retired R297 for this part of the navigation pathway.</w:t>
      </w:r>
    </w:p>
    <w:p>
      <w:r>
        <w:t xml:space="preserve"/>
      </w:r>
    </w:p>
    <w:p>
      <w:pPr>
        <w:spacing w:before="120" w:after="80"/>
      </w:pPr>
      <w:bookmarkStart w:id="10" w:name="section_3_puberty_hypogonadism_and_devel"/>
      <w:r>
        <w:rPr>
          <w:b/>
          <w:sz w:val="32"/>
          <w:szCs w:val="32"/>
        </w:rPr>
        <w:t xml:space="preserve">3. Puberty, hypogonadism and developmental features</w:t>
      </w:r>
      <w:bookmarkEnd w:id="10"/>
    </w:p>
    <w:p>
      <w:r>
        <w:t xml:space="preserve"/>
      </w:r>
    </w:p>
    <w:p>
      <w:pPr>
        <w:spacing w:before="120" w:after="80"/>
      </w:pPr>
      <w:bookmarkStart w:id="11" w:name="section_31_nhs_england_genotes_patient_a"/>
      <w:r>
        <w:rPr>
          <w:b/>
          <w:sz w:val="28"/>
          <w:szCs w:val="28"/>
        </w:rPr>
        <w:t xml:space="preserve">3.1 NHS England GeNotes — Patient aged 18 with delayed puberty</w:t>
      </w:r>
      <w:bookmarkEnd w:id="11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delayed, incomplete or absent pubertal development;</w:t>
      </w:r>
    </w:p>
    <w:p>
      <w:pPr>
        <w:ind w:left="360" w:hanging="180"/>
        <w:spacing w:after="40"/>
      </w:pPr>
      <w:r>
        <w:t xml:space="preserve">• </w:t>
      </w:r>
      <w:r>
        <w:t xml:space="preserve">physical signs relevant to hypogonadism or DSD assessment.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Presentation: Patient aged 18 with delayed puberty</w:t>
      </w:r>
    </w:p>
    <w:p>
      <w:pPr>
        <w:ind w:left="360" w:hanging="180"/>
        <w:spacing w:after="40"/>
      </w:pPr>
      <w:r>
        <w:t xml:space="preserve">• </w:t>
      </w:r>
      <w:hyperlink r:id="rId4">
        <w:r>
          <w:t xml:space="preserve">https://www.genomicseducation.hee.nhs.uk/genotes/in-the-clinic/presentation-patient-aged-18-with-delayed-puberty/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micropenis;</w:t>
      </w:r>
    </w:p>
    <w:p>
      <w:pPr>
        <w:ind w:left="360" w:hanging="180"/>
        <w:spacing w:after="40"/>
      </w:pPr>
      <w:r>
        <w:t xml:space="preserve">• </w:t>
      </w:r>
      <w:r>
        <w:t xml:space="preserve">low testicular volume;</w:t>
      </w:r>
    </w:p>
    <w:p>
      <w:pPr>
        <w:ind w:left="360" w:hanging="180"/>
        <w:spacing w:after="40"/>
      </w:pPr>
      <w:r>
        <w:t xml:space="preserve">• </w:t>
      </w:r>
      <w:r>
        <w:t xml:space="preserve">cryptorchidism;</w:t>
      </w:r>
    </w:p>
    <w:p>
      <w:pPr>
        <w:ind w:left="360" w:hanging="180"/>
        <w:spacing w:after="40"/>
      </w:pPr>
      <w:r>
        <w:t xml:space="preserve">• </w:t>
      </w:r>
      <w:r>
        <w:t xml:space="preserve">delayed or incomplete puberty;</w:t>
      </w:r>
    </w:p>
    <w:p>
      <w:pPr>
        <w:ind w:left="360" w:hanging="180"/>
        <w:spacing w:after="40"/>
      </w:pPr>
      <w:r>
        <w:t xml:space="preserve">• </w:t>
      </w:r>
      <w:r>
        <w:t xml:space="preserve">biochemical findings involving LH, FSH and sex hormones.</w:t>
      </w:r>
    </w:p>
    <w:p>
      <w:r>
        <w:t xml:space="preserve"/>
      </w:r>
    </w:p>
    <w:p>
      <w:pPr>
        <w:spacing w:before="120" w:after="80"/>
      </w:pPr>
      <w:bookmarkStart w:id="12" w:name="section_32_nhs_england_genotes_congenita"/>
      <w:r>
        <w:rPr>
          <w:b/>
          <w:sz w:val="28"/>
          <w:szCs w:val="28"/>
        </w:rPr>
        <w:t xml:space="preserve">3.2 NHS England GeNotes — Congenital hypogonadotropic hypogonadism</w:t>
      </w:r>
      <w:bookmarkEnd w:id="12"/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CHH / Kallmann syndrome;</w:t>
      </w:r>
    </w:p>
    <w:p>
      <w:pPr>
        <w:ind w:left="360" w:hanging="180"/>
        <w:spacing w:after="40"/>
      </w:pPr>
      <w:r>
        <w:t xml:space="preserve">• </w:t>
      </w:r>
      <w:r>
        <w:t xml:space="preserve">pubertal failure;</w:t>
      </w:r>
    </w:p>
    <w:p>
      <w:pPr>
        <w:ind w:left="360" w:hanging="180"/>
        <w:spacing w:after="40"/>
      </w:pPr>
      <w:r>
        <w:t xml:space="preserve">• </w:t>
      </w:r>
      <w:r>
        <w:t xml:space="preserve">congenital and developmental clinical features.</w:t>
      </w:r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hypogonadotropic hypogonadism</w:t>
      </w:r>
    </w:p>
    <w:p>
      <w:pPr>
        <w:ind w:left="360" w:hanging="180"/>
        <w:spacing w:after="40"/>
      </w:pPr>
      <w:r>
        <w:t xml:space="preserve">• </w:t>
      </w:r>
      <w:hyperlink r:id="rId5">
        <w:r>
          <w:t xml:space="preserve">https://www.genomicseducation.hee.nhs.uk/genotes/knowledge-hub/congenital-hypogonadotropic-hypogonadism/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delayed, absent or arrested puberty;</w:t>
      </w:r>
    </w:p>
    <w:p>
      <w:pPr>
        <w:ind w:left="360" w:hanging="180"/>
        <w:spacing w:after="40"/>
      </w:pPr>
      <w:r>
        <w:t xml:space="preserve">• </w:t>
      </w:r>
      <w:r>
        <w:t xml:space="preserve">micropenis;</w:t>
      </w:r>
    </w:p>
    <w:p>
      <w:pPr>
        <w:ind w:left="360" w:hanging="180"/>
        <w:spacing w:after="40"/>
      </w:pPr>
      <w:r>
        <w:t xml:space="preserve">• </w:t>
      </w:r>
      <w:r>
        <w:t xml:space="preserve">cryptorchidism;</w:t>
      </w:r>
    </w:p>
    <w:p>
      <w:pPr>
        <w:ind w:left="360" w:hanging="180"/>
        <w:spacing w:after="40"/>
      </w:pPr>
      <w:r>
        <w:t xml:space="preserve">• </w:t>
      </w:r>
      <w:r>
        <w:t xml:space="preserve">anosmia / hyposmia;</w:t>
      </w:r>
    </w:p>
    <w:p>
      <w:pPr>
        <w:ind w:left="360" w:hanging="180"/>
        <w:spacing w:after="40"/>
      </w:pPr>
      <w:r>
        <w:t xml:space="preserve">• </w:t>
      </w:r>
      <w:r>
        <w:t xml:space="preserve">mirror movements;</w:t>
      </w:r>
    </w:p>
    <w:p>
      <w:pPr>
        <w:ind w:left="360" w:hanging="180"/>
        <w:spacing w:after="40"/>
      </w:pPr>
      <w:r>
        <w:t xml:space="preserve">• </w:t>
      </w:r>
      <w:r>
        <w:t xml:space="preserve">hearing loss;</w:t>
      </w:r>
    </w:p>
    <w:p>
      <w:pPr>
        <w:ind w:left="360" w:hanging="180"/>
        <w:spacing w:after="40"/>
      </w:pPr>
      <w:r>
        <w:t xml:space="preserve">• </w:t>
      </w:r>
      <w:r>
        <w:t xml:space="preserve">midline abnormalities;</w:t>
      </w:r>
    </w:p>
    <w:p>
      <w:pPr>
        <w:ind w:left="360" w:hanging="180"/>
        <w:spacing w:after="40"/>
      </w:pPr>
      <w:r>
        <w:t xml:space="preserve">• </w:t>
      </w:r>
      <w:r>
        <w:t xml:space="preserve">hypodontia;</w:t>
      </w:r>
    </w:p>
    <w:p>
      <w:pPr>
        <w:ind w:left="360" w:hanging="180"/>
        <w:spacing w:after="40"/>
      </w:pPr>
      <w:r>
        <w:t xml:space="preserve">• </w:t>
      </w:r>
      <w:r>
        <w:t xml:space="preserve">renal agenesis;</w:t>
      </w:r>
    </w:p>
    <w:p>
      <w:pPr>
        <w:ind w:left="360" w:hanging="180"/>
        <w:spacing w:after="40"/>
      </w:pPr>
      <w:r>
        <w:t xml:space="preserve">• </w:t>
      </w:r>
      <w:r>
        <w:t xml:space="preserve">limb abnormalities.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R148 Hypogonadotropic hypogonadism</w:t>
      </w:r>
    </w:p>
    <w:p>
      <w:r>
        <w:t xml:space="preserve"/>
      </w:r>
    </w:p>
    <w:p>
      <w:pPr>
        <w:spacing w:before="120" w:after="80"/>
      </w:pPr>
      <w:bookmarkStart w:id="13" w:name="section_4_specific_dsd_and_related_condi"/>
      <w:r>
        <w:rPr>
          <w:b/>
          <w:sz w:val="32"/>
          <w:szCs w:val="32"/>
        </w:rPr>
        <w:t xml:space="preserve">4. Specific DSD and related conditions</w:t>
      </w:r>
      <w:bookmarkEnd w:id="13"/>
    </w:p>
    <w:p>
      <w:r>
        <w:t xml:space="preserve"/>
      </w:r>
    </w:p>
    <w:p>
      <w:pPr>
        <w:spacing w:before="120" w:after="80"/>
      </w:pPr>
      <w:bookmarkStart w:id="14" w:name="section_41_nhs_klinefelter_syndrome"/>
      <w:r>
        <w:rPr>
          <w:b/>
          <w:sz w:val="28"/>
          <w:szCs w:val="28"/>
        </w:rPr>
        <w:t xml:space="preserve">4.1 NHS — Klinefelter syndrome</w:t>
      </w:r>
      <w:bookmarkEnd w:id="14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Klinefelter syndrome</w:t>
      </w:r>
    </w:p>
    <w:p>
      <w:pPr>
        <w:ind w:left="360" w:hanging="180"/>
        <w:spacing w:after="40"/>
      </w:pPr>
      <w:r>
        <w:t xml:space="preserve">• </w:t>
      </w:r>
      <w:hyperlink r:id="rId6">
        <w:r>
          <w:t xml:space="preserve">https://www.nhs.uk/conditions/klinefelters-syndrome/</w:t>
        </w:r>
      </w:hyperlink>
    </w:p>
    <w:p>
      <w:r>
        <w:t xml:space="preserve"/>
      </w:r>
    </w:p>
    <w:p>
      <w:r>
        <w:t xml:space="preserve">Useful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developmental delay;</w:t>
      </w:r>
    </w:p>
    <w:p>
      <w:pPr>
        <w:ind w:left="360" w:hanging="180"/>
        <w:spacing w:after="40"/>
      </w:pPr>
      <w:r>
        <w:t xml:space="preserve">• </w:t>
      </w:r>
      <w:r>
        <w:t xml:space="preserve">reading, writing, spelling or attention difficulties;</w:t>
      </w:r>
    </w:p>
    <w:p>
      <w:pPr>
        <w:ind w:left="360" w:hanging="180"/>
        <w:spacing w:after="40"/>
      </w:pPr>
      <w:r>
        <w:t xml:space="preserve">• </w:t>
      </w:r>
      <w:r>
        <w:t xml:space="preserve">low energy;</w:t>
      </w:r>
    </w:p>
    <w:p>
      <w:pPr>
        <w:ind w:left="360" w:hanging="180"/>
        <w:spacing w:after="40"/>
      </w:pPr>
      <w:r>
        <w:t xml:space="preserve">• </w:t>
      </w:r>
      <w:r>
        <w:t xml:space="preserve">tall stature / long limbs;</w:t>
      </w:r>
    </w:p>
    <w:p>
      <w:pPr>
        <w:ind w:left="360" w:hanging="180"/>
        <w:spacing w:after="40"/>
      </w:pPr>
      <w:r>
        <w:t xml:space="preserve">• </w:t>
      </w:r>
      <w:r>
        <w:t xml:space="preserve">broad hips;</w:t>
      </w:r>
    </w:p>
    <w:p>
      <w:pPr>
        <w:ind w:left="360" w:hanging="180"/>
        <w:spacing w:after="40"/>
      </w:pPr>
      <w:r>
        <w:t xml:space="preserve">• </w:t>
      </w:r>
      <w:r>
        <w:t xml:space="preserve">poor muscle tone or slower muscle development;</w:t>
      </w:r>
    </w:p>
    <w:p>
      <w:pPr>
        <w:ind w:left="360" w:hanging="180"/>
        <w:spacing w:after="40"/>
      </w:pPr>
      <w:r>
        <w:t xml:space="preserve">• </w:t>
      </w:r>
      <w:r>
        <w:t xml:space="preserve">reduced facial or body hair;</w:t>
      </w:r>
    </w:p>
    <w:p>
      <w:pPr>
        <w:ind w:left="360" w:hanging="180"/>
        <w:spacing w:after="40"/>
      </w:pPr>
      <w:r>
        <w:t xml:space="preserve">• </w:t>
      </w:r>
      <w:r>
        <w:t xml:space="preserve">small, firm testes;</w:t>
      </w:r>
    </w:p>
    <w:p>
      <w:pPr>
        <w:ind w:left="360" w:hanging="180"/>
        <w:spacing w:after="40"/>
      </w:pPr>
      <w:r>
        <w:t xml:space="preserve">• </w:t>
      </w:r>
      <w:r>
        <w:t xml:space="preserve">gynaecomastia;</w:t>
      </w:r>
    </w:p>
    <w:p>
      <w:pPr>
        <w:ind w:left="360" w:hanging="180"/>
        <w:spacing w:after="40"/>
      </w:pPr>
      <w:r>
        <w:t xml:space="preserve">• </w:t>
      </w:r>
      <w:r>
        <w:t xml:space="preserve">infertility;</w:t>
      </w:r>
    </w:p>
    <w:p>
      <w:pPr>
        <w:ind w:left="360" w:hanging="180"/>
        <w:spacing w:after="40"/>
      </w:pPr>
      <w:r>
        <w:t xml:space="preserve">• </w:t>
      </w:r>
      <w:r>
        <w:t xml:space="preserve">low libido;</w:t>
      </w:r>
    </w:p>
    <w:p>
      <w:pPr>
        <w:ind w:left="360" w:hanging="180"/>
        <w:spacing w:after="40"/>
      </w:pPr>
      <w:r>
        <w:t xml:space="preserve">• </w:t>
      </w:r>
      <w:r>
        <w:t xml:space="preserve">erectile difficulties.</w:t>
      </w:r>
    </w:p>
    <w:p>
      <w:r>
        <w:t xml:space="preserve"/>
      </w:r>
    </w:p>
    <w:p>
      <w:pPr>
        <w:spacing w:before="120" w:after="80"/>
      </w:pPr>
      <w:bookmarkStart w:id="15" w:name="section_42_nhs_androgen_insensitivity_sy"/>
      <w:r>
        <w:rPr>
          <w:b/>
          <w:sz w:val="28"/>
          <w:szCs w:val="28"/>
        </w:rPr>
        <w:t xml:space="preserve">4.2 NHS — Androgen insensitivity syndrome</w:t>
      </w:r>
      <w:bookmarkEnd w:id="15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Androgen insensitivity syndrome</w:t>
      </w:r>
    </w:p>
    <w:p>
      <w:pPr>
        <w:ind w:left="360" w:hanging="180"/>
        <w:spacing w:after="40"/>
      </w:pPr>
      <w:r>
        <w:t xml:space="preserve">• </w:t>
      </w:r>
      <w:hyperlink r:id="rId7">
        <w:r>
          <w:t xml:space="preserve">https://www.nhs.uk/conditions/androgen-insensitivity-syndrome/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CAIS / PAIS clinical features;</w:t>
      </w:r>
    </w:p>
    <w:p>
      <w:pPr>
        <w:ind w:left="360" w:hanging="180"/>
        <w:spacing w:after="40"/>
      </w:pPr>
      <w:r>
        <w:t xml:space="preserve">• </w:t>
      </w:r>
      <w:r>
        <w:t xml:space="preserve">pubertal and reproductive presentation;</w:t>
      </w:r>
    </w:p>
    <w:p>
      <w:pPr>
        <w:ind w:left="360" w:hanging="180"/>
        <w:spacing w:after="40"/>
      </w:pPr>
      <w:r>
        <w:t xml:space="preserve">• </w:t>
      </w:r>
      <w:r>
        <w:t xml:space="preserve">treatment and hormone-replacement context.</w:t>
      </w:r>
    </w:p>
    <w:p>
      <w:r>
        <w:t xml:space="preserve"/>
      </w:r>
    </w:p>
    <w:p>
      <w:r>
        <w:t xml:space="preserve">Useful future comparison points may include:</w:t>
      </w:r>
    </w:p>
    <w:p>
      <w:pPr>
        <w:ind w:left="360" w:hanging="180"/>
        <w:spacing w:after="40"/>
      </w:pPr>
      <w:r>
        <w:t xml:space="preserve">• </w:t>
      </w:r>
      <w:r>
        <w:t xml:space="preserve">undescended or partially undescended testes;</w:t>
      </w:r>
    </w:p>
    <w:p>
      <w:pPr>
        <w:ind w:left="360" w:hanging="180"/>
        <w:spacing w:after="40"/>
      </w:pPr>
      <w:r>
        <w:t xml:space="preserve">• </w:t>
      </w:r>
      <w:r>
        <w:t xml:space="preserve">small or underdeveloped penis;</w:t>
      </w:r>
    </w:p>
    <w:p>
      <w:pPr>
        <w:ind w:left="360" w:hanging="180"/>
        <w:spacing w:after="40"/>
      </w:pPr>
      <w:r>
        <w:t xml:space="preserve">• </w:t>
      </w:r>
      <w:r>
        <w:t xml:space="preserve">hypospadias;</w:t>
      </w:r>
    </w:p>
    <w:p>
      <w:pPr>
        <w:ind w:left="360" w:hanging="180"/>
        <w:spacing w:after="40"/>
      </w:pPr>
      <w:r>
        <w:t xml:space="preserve">• </w:t>
      </w:r>
      <w:r>
        <w:t xml:space="preserve">little or no pubic / underarm hair;</w:t>
      </w:r>
    </w:p>
    <w:p>
      <w:pPr>
        <w:ind w:left="360" w:hanging="180"/>
        <w:spacing w:after="40"/>
      </w:pPr>
      <w:r>
        <w:t xml:space="preserve">• </w:t>
      </w:r>
      <w:r>
        <w:t xml:space="preserve">breast development or breast tissue;</w:t>
      </w:r>
    </w:p>
    <w:p>
      <w:pPr>
        <w:ind w:left="360" w:hanging="180"/>
        <w:spacing w:after="40"/>
      </w:pPr>
      <w:r>
        <w:t xml:space="preserve">• </w:t>
      </w:r>
      <w:r>
        <w:t xml:space="preserve">infertility.</w:t>
      </w:r>
    </w:p>
    <w:p>
      <w:r>
        <w:t xml:space="preserve"/>
      </w:r>
    </w:p>
    <w:p>
      <w:r>
        <w:t xml:space="preserve">Important interpretation rule:</w:t>
      </w:r>
    </w:p>
    <w:p>
      <w:pPr>
        <w:ind w:left="360" w:hanging="180"/>
        <w:spacing w:after="40"/>
      </w:pPr>
      <w:r>
        <w:t xml:space="preserve">• </w:t>
      </w:r>
      <w:r>
        <w:t xml:space="preserve">these are clinical features for comparison only;</w:t>
      </w:r>
    </w:p>
    <w:p>
      <w:pPr>
        <w:ind w:left="360" w:hanging="180"/>
        <w:spacing w:after="40"/>
      </w:pPr>
      <w:r>
        <w:t xml:space="preserve">• </w:t>
      </w:r>
      <w:r>
        <w:t xml:space="preserve">diagnosis depends on specialist assessment and may require hormonal, anatomical, chromosomal and/or genetic investigation.</w:t>
      </w:r>
    </w:p>
    <w:p>
      <w:r>
        <w:t xml:space="preserve"/>
      </w:r>
    </w:p>
    <w:p>
      <w:pPr>
        <w:spacing w:before="120" w:after="80"/>
      </w:pPr>
      <w:bookmarkStart w:id="16" w:name="section_43_nhs_england_genotes_congenita"/>
      <w:r>
        <w:rPr>
          <w:b/>
          <w:sz w:val="28"/>
          <w:szCs w:val="28"/>
        </w:rPr>
        <w:t xml:space="preserve">4.3 NHS England GeNotes — Congenital adrenal hyperplasia</w:t>
      </w:r>
      <w:bookmarkEnd w:id="16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adrenal hyperplasia</w:t>
      </w:r>
    </w:p>
    <w:p>
      <w:pPr>
        <w:ind w:left="360" w:hanging="180"/>
        <w:spacing w:after="40"/>
      </w:pPr>
      <w:r>
        <w:t xml:space="preserve">• </w:t>
      </w:r>
      <w:hyperlink r:id="rId8">
        <w:r>
          <w:t xml:space="preserve">https://www.genomicseducation.hee.nhs.uk/genotes/knowledge-hub/congenital-adrenal-hyperplasia/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CAH-related DSD presentations;</w:t>
      </w:r>
    </w:p>
    <w:p>
      <w:pPr>
        <w:ind w:left="360" w:hanging="180"/>
        <w:spacing w:after="40"/>
      </w:pPr>
      <w:r>
        <w:t xml:space="preserve">• </w:t>
      </w:r>
      <w:r>
        <w:t xml:space="preserve">adrenal and electrolyte-related features.</w:t>
      </w:r>
    </w:p>
    <w:p>
      <w:r>
        <w:t xml:space="preserve"/>
      </w:r>
    </w:p>
    <w:p>
      <w:r>
        <w:t xml:space="preserve">Potential future comparison points include:</w:t>
      </w:r>
    </w:p>
    <w:p>
      <w:pPr>
        <w:ind w:left="360" w:hanging="180"/>
        <w:spacing w:after="40"/>
      </w:pPr>
      <w:r>
        <w:t xml:space="preserve">• </w:t>
      </w:r>
      <w:r>
        <w:t xml:space="preserve">salt wasting;</w:t>
      </w:r>
    </w:p>
    <w:p>
      <w:pPr>
        <w:ind w:left="360" w:hanging="180"/>
        <w:spacing w:after="40"/>
      </w:pPr>
      <w:r>
        <w:t xml:space="preserve">• </w:t>
      </w:r>
      <w:r>
        <w:t xml:space="preserve">dehydration;</w:t>
      </w:r>
    </w:p>
    <w:p>
      <w:pPr>
        <w:ind w:left="360" w:hanging="180"/>
        <w:spacing w:after="40"/>
      </w:pPr>
      <w:r>
        <w:t xml:space="preserve">• </w:t>
      </w:r>
      <w:r>
        <w:t xml:space="preserve">hyponatraemia;</w:t>
      </w:r>
    </w:p>
    <w:p>
      <w:pPr>
        <w:ind w:left="360" w:hanging="180"/>
        <w:spacing w:after="40"/>
      </w:pPr>
      <w:r>
        <w:t xml:space="preserve">• </w:t>
      </w:r>
      <w:r>
        <w:t xml:space="preserve">ambiguous genitalia;</w:t>
      </w:r>
    </w:p>
    <w:p>
      <w:pPr>
        <w:ind w:left="360" w:hanging="180"/>
        <w:spacing w:after="40"/>
      </w:pPr>
      <w:r>
        <w:t xml:space="preserve">• </w:t>
      </w:r>
      <w:r>
        <w:t xml:space="preserve">under-virilisation;</w:t>
      </w:r>
    </w:p>
    <w:p>
      <w:pPr>
        <w:ind w:left="360" w:hanging="180"/>
        <w:spacing w:after="40"/>
      </w:pPr>
      <w:r>
        <w:t xml:space="preserve">• </w:t>
      </w:r>
      <w:r>
        <w:t xml:space="preserve">micropenis or hypospadias in some forms.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R180 Congenital adrenal hyperplasia diagnostic test</w:t>
      </w:r>
    </w:p>
    <w:p>
      <w:r>
        <w:t xml:space="preserve"/>
      </w:r>
    </w:p>
    <w:p>
      <w:pPr>
        <w:spacing w:before="120" w:after="80"/>
      </w:pPr>
      <w:bookmarkStart w:id="17" w:name="section_44_nhs_england_genotes_turner_sy"/>
      <w:r>
        <w:rPr>
          <w:b/>
          <w:sz w:val="28"/>
          <w:szCs w:val="28"/>
        </w:rPr>
        <w:t xml:space="preserve">4.4 NHS England GeNotes — Turner syndrome</w:t>
      </w:r>
      <w:bookmarkEnd w:id="17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Turner syndrome</w:t>
      </w:r>
    </w:p>
    <w:p>
      <w:pPr>
        <w:ind w:left="360" w:hanging="180"/>
        <w:spacing w:after="40"/>
      </w:pPr>
      <w:r>
        <w:t xml:space="preserve">• </w:t>
      </w:r>
      <w:hyperlink r:id="rId9">
        <w:r>
          <w:t xml:space="preserve">https://www.genomicseducation.hee.nhs.uk/genotes/knowledge-hub/turner-syndrome/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sex-chromosome-related DSD;</w:t>
      </w:r>
    </w:p>
    <w:p>
      <w:pPr>
        <w:ind w:left="360" w:hanging="180"/>
        <w:spacing w:after="40"/>
      </w:pPr>
      <w:r>
        <w:t xml:space="preserve">• </w:t>
      </w:r>
      <w:r>
        <w:t xml:space="preserve">short stature;</w:t>
      </w:r>
    </w:p>
    <w:p>
      <w:pPr>
        <w:ind w:left="360" w:hanging="180"/>
        <w:spacing w:after="40"/>
      </w:pPr>
      <w:r>
        <w:t xml:space="preserve">• </w:t>
      </w:r>
      <w:r>
        <w:t xml:space="preserve">ovarian dysgenesis / primary ovarian insufficiency;</w:t>
      </w:r>
    </w:p>
    <w:p>
      <w:pPr>
        <w:ind w:left="360" w:hanging="180"/>
        <w:spacing w:after="40"/>
      </w:pPr>
      <w:r>
        <w:t xml:space="preserve">• </w:t>
      </w:r>
      <w:r>
        <w:t xml:space="preserve">absent or incomplete puberty.</w:t>
      </w:r>
    </w:p>
    <w:p>
      <w:r>
        <w:t xml:space="preserve"/>
      </w:r>
    </w:p>
    <w:p>
      <w:r>
        <w:t xml:space="preserve">Related genomic route: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R468 Possible sex chromosome aneuploidy or structural rearrangement</w:t>
      </w:r>
    </w:p>
    <w:p>
      <w:r>
        <w:t xml:space="preserve"/>
      </w:r>
    </w:p>
    <w:p>
      <w:pPr>
        <w:spacing w:before="120" w:after="80"/>
      </w:pPr>
      <w:bookmarkStart w:id="18" w:name="section_45_imperial_college_healthcare_n"/>
      <w:r>
        <w:rPr>
          <w:b/>
          <w:sz w:val="28"/>
          <w:szCs w:val="28"/>
        </w:rPr>
        <w:t xml:space="preserve">4.5 Imperial College Healthcare NHS Trust — MRKH</w:t>
      </w:r>
      <w:bookmarkEnd w:id="18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Imperial College Healthcare NHS Trust. </w:t>
      </w:r>
      <w:r>
        <w:rPr>
          <w:b/>
        </w:rPr>
        <w:t xml:space="preserve">Mayer-Rokitansky-Küster-Hauser syndrome (MRKH)</w:t>
      </w:r>
    </w:p>
    <w:p>
      <w:pPr>
        <w:ind w:left="360" w:hanging="180"/>
        <w:spacing w:after="40"/>
      </w:pPr>
      <w:r>
        <w:t xml:space="preserve">• </w:t>
      </w:r>
      <w:hyperlink r:id="rId10">
        <w:r>
          <w:t xml:space="preserve">https://www.imperial.nhs.uk/our-services/gynaecology/conditions-and-treatments/mayer-rokitansky-kuster-hauser-syndrome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congenital Müllerian / reproductive tract differences;</w:t>
      </w:r>
    </w:p>
    <w:p>
      <w:pPr>
        <w:ind w:left="360" w:hanging="180"/>
        <w:spacing w:after="40"/>
      </w:pPr>
      <w:r>
        <w:t xml:space="preserve">• </w:t>
      </w:r>
      <w:r>
        <w:t xml:space="preserve">associated renal, hearing or skeletal findings in some forms.</w:t>
      </w:r>
    </w:p>
    <w:p>
      <w:r>
        <w:t xml:space="preserve"/>
      </w:r>
    </w:p>
    <w:p>
      <w:pPr>
        <w:spacing w:before="120" w:after="80"/>
      </w:pPr>
      <w:bookmarkStart w:id="19" w:name="section_5_bone_health_hormones_and_hrt"/>
      <w:r>
        <w:rPr>
          <w:b/>
          <w:sz w:val="32"/>
          <w:szCs w:val="32"/>
        </w:rPr>
        <w:t xml:space="preserve">5. Bone health, hormones and HRT</w:t>
      </w:r>
      <w:bookmarkEnd w:id="19"/>
    </w:p>
    <w:p>
      <w:r>
        <w:t xml:space="preserve"/>
      </w:r>
    </w:p>
    <w:p>
      <w:pPr>
        <w:spacing w:before="120" w:after="80"/>
      </w:pPr>
      <w:bookmarkStart w:id="20" w:name="section_51_uclh_complete_androgen_insens"/>
      <w:r>
        <w:rPr>
          <w:b/>
          <w:sz w:val="28"/>
          <w:szCs w:val="28"/>
        </w:rPr>
        <w:t xml:space="preserve">5.1 UCLH — Complete androgen insensitivity syndrome</w:t>
      </w:r>
      <w:bookmarkEnd w:id="20"/>
    </w:p>
    <w:p>
      <w:r>
        <w:t xml:space="preserve"/>
      </w:r>
    </w:p>
    <w:p>
      <w:r>
        <w:t xml:space="preserve">Primary DSD-specific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Complete androgen insensitivity syndrome (CAIS)</w:t>
      </w:r>
    </w:p>
    <w:p>
      <w:pPr>
        <w:ind w:left="360" w:hanging="180"/>
        <w:spacing w:after="40"/>
      </w:pPr>
      <w:r>
        <w:t xml:space="preserve">• </w:t>
      </w:r>
      <w:hyperlink r:id="rId11">
        <w:r>
          <w:t xml:space="preserve">https://www.uclh.nhs.uk/patients-and-visitors/patient-information-pages/complete-androgen-insensitivity-syndrome-cais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gonadal management;</w:t>
      </w:r>
    </w:p>
    <w:p>
      <w:pPr>
        <w:ind w:left="360" w:hanging="180"/>
        <w:spacing w:after="40"/>
      </w:pPr>
      <w:r>
        <w:t xml:space="preserve">• </w:t>
      </w:r>
      <w:r>
        <w:t xml:space="preserve">hormone replacement after gonadectomy;</w:t>
      </w:r>
    </w:p>
    <w:p>
      <w:pPr>
        <w:ind w:left="360" w:hanging="180"/>
        <w:spacing w:after="40"/>
      </w:pPr>
      <w:r>
        <w:t xml:space="preserve">• </w:t>
      </w:r>
      <w:r>
        <w:t xml:space="preserve">long-term bone health;</w:t>
      </w:r>
    </w:p>
    <w:p>
      <w:pPr>
        <w:ind w:left="360" w:hanging="180"/>
        <w:spacing w:after="40"/>
      </w:pPr>
      <w:r>
        <w:t xml:space="preserve">• </w:t>
      </w:r>
      <w:r>
        <w:t xml:space="preserve">bone-density monitoring;</w:t>
      </w:r>
    </w:p>
    <w:p>
      <w:pPr>
        <w:ind w:left="360" w:hanging="180"/>
        <w:spacing w:after="40"/>
      </w:pPr>
      <w:r>
        <w:t xml:space="preserve">• </w:t>
      </w:r>
      <w:r>
        <w:t xml:space="preserve">specialist DSD follow-up.</w:t>
      </w:r>
    </w:p>
    <w:p>
      <w:r>
        <w:t xml:space="preserve"/>
      </w:r>
    </w:p>
    <w:p>
      <w:r>
        <w:t xml:space="preserve">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in some DSD contexts involving loss or absence of effective gonadal hormone function, hormone replacement may be relevant to long-term health, including bone health.</w:t>
      </w:r>
    </w:p>
    <w:p>
      <w:r>
        <w:t xml:space="preserve"/>
      </w:r>
    </w:p>
    <w:p>
      <w:r>
        <w:t xml:space="preserve">This does not mean that any current musculoskeletal symptom establishes osteoporosis, metabolic bone disease or hormone deficiency.</w:t>
      </w:r>
    </w:p>
    <w:p>
      <w:r>
        <w:t xml:space="preserve"/>
      </w:r>
    </w:p>
    <w:p>
      <w:pPr>
        <w:spacing w:before="120" w:after="80"/>
      </w:pPr>
      <w:bookmarkStart w:id="21" w:name="section_52_nhs_androgen_insensitivity_sy"/>
      <w:r>
        <w:rPr>
          <w:b/>
          <w:sz w:val="28"/>
          <w:szCs w:val="28"/>
        </w:rPr>
        <w:t xml:space="preserve">5.2 NHS — Androgen insensitivity syndrome treatment</w:t>
      </w:r>
      <w:bookmarkEnd w:id="21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Androgen insensitivity syndrome</w:t>
      </w:r>
    </w:p>
    <w:p>
      <w:pPr>
        <w:ind w:left="360" w:hanging="180"/>
        <w:spacing w:after="40"/>
      </w:pPr>
      <w:r>
        <w:t xml:space="preserve">• </w:t>
      </w:r>
      <w:hyperlink r:id="rId12">
        <w:r>
          <w:t xml:space="preserve">https://www.nhs.uk/conditions/androgen-insensitivity-syndrome/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hormone treatment and long-term management in AIS.</w:t>
      </w:r>
    </w:p>
    <w:p>
      <w:r>
        <w:t xml:space="preserve"/>
      </w:r>
    </w:p>
    <w:p>
      <w:pPr>
        <w:spacing w:before="120" w:after="80"/>
      </w:pPr>
      <w:bookmarkStart w:id="22" w:name="section_53_nhs_osteoporosis_causes"/>
      <w:r>
        <w:rPr>
          <w:b/>
          <w:sz w:val="28"/>
          <w:szCs w:val="28"/>
        </w:rPr>
        <w:t xml:space="preserve">5.3 NHS — Osteoporosis: causes</w:t>
      </w:r>
      <w:bookmarkEnd w:id="22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Osteoporosis — Causes</w:t>
      </w:r>
    </w:p>
    <w:p>
      <w:pPr>
        <w:ind w:left="360" w:hanging="180"/>
        <w:spacing w:after="40"/>
      </w:pPr>
      <w:r>
        <w:t xml:space="preserve">• </w:t>
      </w:r>
      <w:hyperlink r:id="rId13">
        <w:r>
          <w:t xml:space="preserve">https://www.nhs.uk/conditions/osteoporosis/causes/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general relationship between reduced sex hormones / hypogonadism and bone-health risk.</w:t>
      </w:r>
    </w:p>
    <w:p>
      <w:r>
        <w:t xml:space="preserve"/>
      </w:r>
    </w:p>
    <w:p>
      <w:pPr>
        <w:spacing w:before="120" w:after="80"/>
      </w:pPr>
      <w:bookmarkStart w:id="23" w:name="section_54_general_hormone_deficiency_ba"/>
      <w:r>
        <w:rPr>
          <w:b/>
          <w:sz w:val="28"/>
          <w:szCs w:val="28"/>
        </w:rPr>
        <w:t xml:space="preserve">5.4 General hormone-deficiency background</w:t>
      </w:r>
      <w:bookmarkEnd w:id="23"/>
    </w:p>
    <w:p>
      <w:r>
        <w:t xml:space="preserve"/>
      </w:r>
    </w:p>
    <w:p>
      <w:r>
        <w:t xml:space="preserve">Supplementary sources: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Hysterectomy — Considerations</w:t>
      </w:r>
    </w:p>
    <w:p>
      <w:pPr>
        <w:ind w:left="360" w:hanging="180"/>
        <w:spacing w:after="40"/>
      </w:pPr>
      <w:r>
        <w:t xml:space="preserve">• </w:t>
      </w:r>
      <w:hyperlink r:id="rId14">
        <w:r>
          <w:t xml:space="preserve">https://www.nhs.uk/tests-and-treatments/hysterectomy/considerations/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Hysterectomy</w:t>
      </w:r>
    </w:p>
    <w:p>
      <w:pPr>
        <w:ind w:left="360" w:hanging="180"/>
        <w:spacing w:after="40"/>
      </w:pPr>
      <w:r>
        <w:t xml:space="preserve">• </w:t>
      </w:r>
      <w:hyperlink r:id="rId15">
        <w:r>
          <w:t xml:space="preserve">https://www.nhs.uk/tests-and-treatments/hysterectomy/</w:t>
        </w:r>
      </w:hyperlink>
    </w:p>
    <w:p>
      <w:r>
        <w:t xml:space="preserve"/>
      </w:r>
    </w:p>
    <w:p>
      <w:r>
        <w:t xml:space="preserve">Use:</w:t>
      </w:r>
    </w:p>
    <w:p>
      <w:pPr>
        <w:ind w:left="360" w:hanging="180"/>
        <w:spacing w:after="40"/>
      </w:pPr>
      <w:r>
        <w:t xml:space="preserve">• </w:t>
      </w:r>
      <w:r>
        <w:t xml:space="preserve">general supporting information about ovarian hormone loss, HRT and bone health.</w:t>
      </w:r>
    </w:p>
    <w:p>
      <w:r>
        <w:t xml:space="preserve"/>
      </w:r>
    </w:p>
    <w:p>
      <w:r>
        <w:t xml:space="preserve">These are not DSD-specific primary references and should not replace UCLH CAIS or other specialist DSD guidance.</w:t>
      </w:r>
    </w:p>
    <w:p>
      <w:r>
        <w:t xml:space="preserve"/>
      </w:r>
    </w:p>
    <w:p>
      <w:pPr>
        <w:spacing w:before="120" w:after="80"/>
      </w:pPr>
      <w:bookmarkStart w:id="24" w:name="section_6_gonadal_surveillance_and_surge"/>
      <w:r>
        <w:rPr>
          <w:b/>
          <w:sz w:val="32"/>
          <w:szCs w:val="32"/>
        </w:rPr>
        <w:t xml:space="preserve">6. Gonadal surveillance and surgery</w:t>
      </w:r>
      <w:bookmarkEnd w:id="24"/>
    </w:p>
    <w:p>
      <w:r>
        <w:t xml:space="preserve"/>
      </w:r>
    </w:p>
    <w:p>
      <w:pPr>
        <w:spacing w:before="120" w:after="80"/>
      </w:pPr>
      <w:bookmarkStart w:id="25" w:name="section_61_uclh_gonadal_surveillance_gon"/>
      <w:r>
        <w:rPr>
          <w:b/>
          <w:sz w:val="28"/>
          <w:szCs w:val="28"/>
        </w:rPr>
        <w:t xml:space="preserve">6.1 UCLH — Gonadal surveillance / gonadectomy</w:t>
      </w:r>
      <w:bookmarkEnd w:id="25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Complete androgen insensitivity syndrome (CAIS)</w:t>
      </w:r>
    </w:p>
    <w:p>
      <w:pPr>
        <w:ind w:left="360" w:hanging="180"/>
        <w:spacing w:after="40"/>
      </w:pPr>
      <w:r>
        <w:t xml:space="preserve">• </w:t>
      </w:r>
      <w:hyperlink r:id="rId16">
        <w:r>
          <w:t xml:space="preserve">https://www.uclh.nhs.uk/patients-and-visitors/patient-information-pages/complete-androgen-insensitivity-syndrome-cais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Laparoscopic gonadectomy</w:t>
      </w:r>
    </w:p>
    <w:p>
      <w:pPr>
        <w:ind w:left="360" w:hanging="180"/>
        <w:spacing w:after="40"/>
      </w:pPr>
      <w:r>
        <w:t xml:space="preserve">• </w:t>
      </w:r>
      <w:hyperlink r:id="rId17">
        <w:r>
          <w:t xml:space="preserve">https://www.uclh.nhs.uk/patients-and-visitors/patient-information-pages/laparoscopic-gonadectomy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Inguinal gonadectomy</w:t>
      </w:r>
    </w:p>
    <w:p>
      <w:pPr>
        <w:ind w:left="360" w:hanging="180"/>
        <w:spacing w:after="40"/>
      </w:pPr>
      <w:r>
        <w:t xml:space="preserve">• </w:t>
      </w:r>
      <w:hyperlink r:id="rId18">
        <w:r>
          <w:t xml:space="preserve">https://www.uclh.nhs.uk/patients-and-visitors/patient-information-pages/inguinal-gonadectomy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gonadal tumour-risk discussion;</w:t>
      </w:r>
    </w:p>
    <w:p>
      <w:pPr>
        <w:ind w:left="360" w:hanging="180"/>
        <w:spacing w:after="40"/>
      </w:pPr>
      <w:r>
        <w:t xml:space="preserve">• </w:t>
      </w:r>
      <w:r>
        <w:t xml:space="preserve">surveillance;</w:t>
      </w:r>
    </w:p>
    <w:p>
      <w:pPr>
        <w:ind w:left="360" w:hanging="180"/>
        <w:spacing w:after="40"/>
      </w:pPr>
      <w:r>
        <w:t xml:space="preserve">• </w:t>
      </w:r>
      <w:r>
        <w:t xml:space="preserve">gonadectomy;</w:t>
      </w:r>
    </w:p>
    <w:p>
      <w:pPr>
        <w:ind w:left="360" w:hanging="180"/>
        <w:spacing w:after="40"/>
      </w:pPr>
      <w:r>
        <w:t xml:space="preserve">• </w:t>
      </w:r>
      <w:r>
        <w:t xml:space="preserve">hormone management following gonadectomy.</w:t>
      </w:r>
    </w:p>
    <w:p>
      <w:r>
        <w:t xml:space="preserve"/>
      </w:r>
    </w:p>
    <w:p>
      <w:pPr>
        <w:spacing w:before="120" w:after="80"/>
      </w:pPr>
      <w:bookmarkStart w:id="26" w:name="section_7_dental_and_developmental_backg"/>
      <w:r>
        <w:rPr>
          <w:b/>
          <w:sz w:val="32"/>
          <w:szCs w:val="32"/>
        </w:rPr>
        <w:t xml:space="preserve">7. Dental and developmental background</w:t>
      </w:r>
      <w:bookmarkEnd w:id="26"/>
    </w:p>
    <w:p>
      <w:r>
        <w:t xml:space="preserve"/>
      </w:r>
    </w:p>
    <w:p>
      <w:pPr>
        <w:spacing w:before="120" w:after="80"/>
      </w:pPr>
      <w:bookmarkStart w:id="27" w:name="section_71_chh_related_hypodontia"/>
      <w:r>
        <w:rPr>
          <w:b/>
          <w:sz w:val="28"/>
          <w:szCs w:val="28"/>
        </w:rPr>
        <w:t xml:space="preserve">7.1 CHH-related hypodontia</w:t>
      </w:r>
      <w:bookmarkEnd w:id="27"/>
    </w:p>
    <w:p>
      <w:r>
        <w:t xml:space="preserve"/>
      </w:r>
    </w:p>
    <w:p>
      <w:r>
        <w:t xml:space="preserve">Primary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Genomics Education. </w:t>
      </w:r>
      <w:r>
        <w:rPr>
          <w:b/>
        </w:rPr>
        <w:t xml:space="preserve">Congenital hypogonadotropic hypogonadism</w:t>
      </w:r>
    </w:p>
    <w:p>
      <w:pPr>
        <w:ind w:left="360" w:hanging="180"/>
        <w:spacing w:after="40"/>
      </w:pPr>
      <w:r>
        <w:t xml:space="preserve">• </w:t>
      </w:r>
      <w:hyperlink r:id="rId19">
        <w:r>
          <w:t xml:space="preserve">https://www.genomicseducation.hee.nhs.uk/genotes/knowledge-hub/congenital-hypogonadotropic-hypogonadism/</w:t>
        </w:r>
      </w:hyperlink>
    </w:p>
    <w:p>
      <w:r>
        <w:t xml:space="preserve"/>
      </w:r>
    </w:p>
    <w:p>
      <w:r>
        <w:t xml:space="preserve">Navigation point:</w:t>
      </w:r>
    </w:p>
    <w:p>
      <w:pPr>
        <w:ind w:left="360" w:hanging="180"/>
        <w:spacing w:after="40"/>
      </w:pPr>
      <w:r>
        <w:t xml:space="preserve">• </w:t>
      </w:r>
      <w:r>
        <w:t xml:space="preserve">GeNotes lists </w:t>
      </w:r>
      <w:r>
        <w:rPr>
          <w:b/>
        </w:rPr>
        <w:t xml:space="preserve">hypodontia</w:t>
      </w:r>
      <w:r>
        <w:t xml:space="preserve"> as a possible clinical feature associated with CHH.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unusual tooth count, eruption timing or dental arrangement should not automatically be treated as DSD evidence;</w:t>
      </w:r>
    </w:p>
    <w:p>
      <w:pPr>
        <w:ind w:left="360" w:hanging="180"/>
        <w:spacing w:after="40"/>
      </w:pPr>
      <w:r>
        <w:t xml:space="preserve">• </w:t>
      </w:r>
      <w:r>
        <w:t xml:space="preserve">dental records or professional dental assessment would be required to establish whether hypodontia or another developmental abnormality is present.</w:t>
      </w:r>
    </w:p>
    <w:p>
      <w:r>
        <w:t xml:space="preserve"/>
      </w:r>
    </w:p>
    <w:p>
      <w:r>
        <w:t xml:space="preserve">Supplementary source: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Clinical standard for oral health and dental care for children and young people</w:t>
      </w:r>
    </w:p>
    <w:p>
      <w:r>
        <w:t xml:space="preserve"/>
      </w:r>
    </w:p>
    <w:p>
      <w:pPr>
        <w:spacing w:before="120" w:after="80"/>
      </w:pPr>
      <w:bookmarkStart w:id="28" w:name="section_8_psychological_social_and_repro"/>
      <w:r>
        <w:rPr>
          <w:b/>
          <w:sz w:val="32"/>
          <w:szCs w:val="32"/>
        </w:rPr>
        <w:t xml:space="preserve">8. Psychological, social and reproductive support</w:t>
      </w:r>
      <w:bookmarkEnd w:id="28"/>
    </w:p>
    <w:p>
      <w:r>
        <w:t xml:space="preserve"/>
      </w:r>
    </w:p>
    <w:p>
      <w:pPr>
        <w:spacing w:before="120" w:after="80"/>
      </w:pPr>
      <w:bookmarkStart w:id="29" w:name="section_81_psychological_and_social_supp"/>
      <w:r>
        <w:rPr>
          <w:b/>
          <w:sz w:val="28"/>
          <w:szCs w:val="28"/>
        </w:rPr>
        <w:t xml:space="preserve">8.1 Psychological and social support</w:t>
      </w:r>
      <w:bookmarkEnd w:id="29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Differences in sex development</w:t>
      </w:r>
    </w:p>
    <w:p>
      <w:pPr>
        <w:ind w:left="360" w:hanging="180"/>
        <w:spacing w:after="40"/>
      </w:pPr>
      <w:r>
        <w:t xml:space="preserve">• </w:t>
      </w:r>
      <w:hyperlink r:id="rId20">
        <w:r>
          <w:t xml:space="preserve">https://www.nhs.uk/conditions/differences-in-sex-development/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Complex congenital gynaecology and differences of sex development</w:t>
      </w:r>
    </w:p>
    <w:p>
      <w:pPr>
        <w:ind w:left="360" w:hanging="180"/>
        <w:spacing w:after="40"/>
      </w:pPr>
      <w:r>
        <w:t xml:space="preserve">• </w:t>
      </w:r>
      <w:hyperlink r:id="rId21">
        <w:r>
          <w:t xml:space="preserve">https://www.uclh.nhs.uk/patients-and-visitors/patient-information-pages/complex-congenital-gynaecology-and-differences-sex-development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Women’s Health Psychological Services</w:t>
      </w:r>
    </w:p>
    <w:p>
      <w:pPr>
        <w:ind w:left="360" w:hanging="180"/>
        <w:spacing w:after="40"/>
      </w:pPr>
      <w:r>
        <w:t xml:space="preserve">• </w:t>
      </w:r>
      <w:hyperlink r:id="rId22">
        <w:r>
          <w:t xml:space="preserve">https://www.uclh.nhs.uk/our-services/find-service/womens-health-1/womens-health-psychological-services-whps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psychological support;</w:t>
      </w:r>
    </w:p>
    <w:p>
      <w:pPr>
        <w:ind w:left="360" w:hanging="180"/>
        <w:spacing w:after="40"/>
      </w:pPr>
      <w:r>
        <w:t xml:space="preserve">• </w:t>
      </w:r>
      <w:r>
        <w:t xml:space="preserve">sexuality and relationships;</w:t>
      </w:r>
    </w:p>
    <w:p>
      <w:pPr>
        <w:ind w:left="360" w:hanging="180"/>
        <w:spacing w:after="40"/>
      </w:pPr>
      <w:r>
        <w:t xml:space="preserve">• </w:t>
      </w:r>
      <w:r>
        <w:t xml:space="preserve">body image;</w:t>
      </w:r>
    </w:p>
    <w:p>
      <w:pPr>
        <w:ind w:left="360" w:hanging="180"/>
        <w:spacing w:after="40"/>
      </w:pPr>
      <w:r>
        <w:t xml:space="preserve">• </w:t>
      </w:r>
      <w:r>
        <w:t xml:space="preserve">adjustment to diagnosis and specialist care.</w:t>
      </w:r>
    </w:p>
    <w:p>
      <w:r>
        <w:t xml:space="preserve"/>
      </w:r>
    </w:p>
    <w:p>
      <w:pPr>
        <w:spacing w:before="120" w:after="80"/>
      </w:pPr>
      <w:bookmarkStart w:id="30" w:name="section_82_fertility_and_reproductive_ma"/>
      <w:r>
        <w:rPr>
          <w:b/>
          <w:sz w:val="28"/>
          <w:szCs w:val="28"/>
        </w:rPr>
        <w:t xml:space="preserve">8.2 Fertility and reproductive management</w:t>
      </w:r>
      <w:bookmarkEnd w:id="30"/>
    </w:p>
    <w:p>
      <w:r>
        <w:t xml:space="preserve"/>
      </w:r>
    </w:p>
    <w:p>
      <w:r>
        <w:t xml:space="preserve">Official sources: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Differences in Sex Development service</w:t>
      </w:r>
    </w:p>
    <w:p>
      <w:pPr>
        <w:ind w:left="360" w:hanging="180"/>
        <w:spacing w:after="40"/>
      </w:pPr>
      <w:r>
        <w:t xml:space="preserve">• </w:t>
      </w:r>
      <w:hyperlink r:id="rId23">
        <w:r>
          <w:t xml:space="preserve">https://www.uclh.nhs.uk/our-services/find-service/womens-health-1/gynaecology/differences-sex-development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NHS England. </w:t>
      </w:r>
      <w:r>
        <w:rPr>
          <w:b/>
        </w:rPr>
        <w:t xml:space="preserve">Congenital Gynaecological Anomalies Service Specification</w:t>
      </w:r>
    </w:p>
    <w:p>
      <w:pPr>
        <w:ind w:left="360" w:hanging="180"/>
        <w:spacing w:after="40"/>
      </w:pPr>
      <w:r>
        <w:t xml:space="preserve">• </w:t>
      </w:r>
      <w:hyperlink r:id="rId24">
        <w:r>
          <w:t xml:space="preserve">https://www.england.nhs.uk/wp-content/uploads/2019/07/1654-Congenital-Gynaecological-Anomalies-Service-Spec.pdf</w:t>
        </w:r>
      </w:hyperlink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Reproductive Medicine Unit — Counselling service information</w:t>
      </w:r>
    </w:p>
    <w:p>
      <w:pPr>
        <w:ind w:left="360" w:hanging="180"/>
        <w:spacing w:after="40"/>
      </w:pPr>
      <w:r>
        <w:t xml:space="preserve">• </w:t>
      </w:r>
      <w:hyperlink r:id="rId25">
        <w:r>
          <w:t xml:space="preserve">https://www.uclh.nhs.uk/our-services/find-service/womens-health-1/gynaecology/reproductive-medicine-unit/counselling-service-information</w:t>
        </w:r>
      </w:hyperlink>
    </w:p>
    <w:p>
      <w:r>
        <w:t xml:space="preserve"/>
      </w:r>
    </w:p>
    <w:p>
      <w:r>
        <w:t xml:space="preserve">Primary use:</w:t>
      </w:r>
    </w:p>
    <w:p>
      <w:pPr>
        <w:ind w:left="360" w:hanging="180"/>
        <w:spacing w:after="40"/>
      </w:pPr>
      <w:r>
        <w:t xml:space="preserve">• </w:t>
      </w:r>
      <w:r>
        <w:t xml:space="preserve">fertility;</w:t>
      </w:r>
    </w:p>
    <w:p>
      <w:pPr>
        <w:ind w:left="360" w:hanging="180"/>
        <w:spacing w:after="40"/>
      </w:pPr>
      <w:r>
        <w:t xml:space="preserve">• </w:t>
      </w:r>
      <w:r>
        <w:t xml:space="preserve">reproductive options;</w:t>
      </w:r>
    </w:p>
    <w:p>
      <w:pPr>
        <w:ind w:left="360" w:hanging="180"/>
        <w:spacing w:after="40"/>
      </w:pPr>
      <w:r>
        <w:t xml:space="preserve">• </w:t>
      </w:r>
      <w:r>
        <w:t xml:space="preserve">routes to parenthood;</w:t>
      </w:r>
    </w:p>
    <w:p>
      <w:pPr>
        <w:ind w:left="360" w:hanging="180"/>
        <w:spacing w:after="40"/>
      </w:pPr>
      <w:r>
        <w:t xml:space="preserve">• </w:t>
      </w:r>
      <w:r>
        <w:t xml:space="preserve">counselling and multidisciplinary support.</w:t>
      </w:r>
    </w:p>
    <w:p>
      <w:r>
        <w:t xml:space="preserve"/>
      </w:r>
    </w:p>
    <w:p>
      <w:pPr>
        <w:spacing w:before="120" w:after="80"/>
      </w:pPr>
      <w:bookmarkStart w:id="31" w:name="section_9_specialist_referral_navigation"/>
      <w:r>
        <w:rPr>
          <w:b/>
          <w:sz w:val="32"/>
          <w:szCs w:val="32"/>
        </w:rPr>
        <w:t xml:space="preserve">9. Specialist referral navigation</w:t>
      </w:r>
      <w:bookmarkEnd w:id="31"/>
    </w:p>
    <w:p>
      <w:r>
        <w:t xml:space="preserve"/>
      </w:r>
    </w:p>
    <w:p>
      <w:pPr>
        <w:spacing w:before="120" w:after="80"/>
      </w:pPr>
      <w:bookmarkStart w:id="32" w:name="section_91_uclh_differences_in_sex_devel"/>
      <w:r>
        <w:rPr>
          <w:b/>
          <w:sz w:val="28"/>
          <w:szCs w:val="28"/>
        </w:rPr>
        <w:t xml:space="preserve">9.1 UCLH — Differences in Sex Development service</w:t>
      </w:r>
      <w:bookmarkEnd w:id="32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UCLH. </w:t>
      </w:r>
      <w:r>
        <w:rPr>
          <w:b/>
        </w:rPr>
        <w:t xml:space="preserve">Differences in Sex Development service</w:t>
      </w:r>
    </w:p>
    <w:p>
      <w:pPr>
        <w:ind w:left="360" w:hanging="180"/>
        <w:spacing w:after="40"/>
      </w:pPr>
      <w:r>
        <w:t xml:space="preserve">• </w:t>
      </w:r>
      <w:hyperlink r:id="rId26">
        <w:r>
          <w:t xml:space="preserve">https://www.uclh.nhs.uk/our-services/find-service/womens-health-1/gynaecology/differences-sex-development</w:t>
        </w:r>
      </w:hyperlink>
    </w:p>
    <w:p>
      <w:r>
        <w:t xml:space="preserve"/>
      </w:r>
    </w:p>
    <w:p>
      <w:r>
        <w:t xml:space="preserve">Navigation points:</w:t>
      </w:r>
    </w:p>
    <w:p>
      <w:pPr>
        <w:ind w:left="360" w:hanging="180"/>
        <w:spacing w:after="40"/>
      </w:pPr>
      <w:r>
        <w:t xml:space="preserve">• </w:t>
      </w:r>
      <w:r>
        <w:t xml:space="preserve">service is intended for adolescents and adults;</w:t>
      </w:r>
    </w:p>
    <w:p>
      <w:pPr>
        <w:ind w:left="360" w:hanging="180"/>
        <w:spacing w:after="40"/>
      </w:pPr>
      <w:r>
        <w:t xml:space="preserve">• </w:t>
      </w:r>
      <w:r>
        <w:t xml:space="preserve">adults may present for the first time without an established childhood DSD diagnosis;</w:t>
      </w:r>
    </w:p>
    <w:p>
      <w:pPr>
        <w:ind w:left="360" w:hanging="180"/>
        <w:spacing w:after="40"/>
      </w:pPr>
      <w:r>
        <w:t xml:space="preserve">• </w:t>
      </w:r>
      <w:r>
        <w:t xml:space="preserve">multidisciplinary input may include endocrinology, gynaecology, psychology, urology, specialist nursing, genetics, radiology and biochemistry;</w:t>
      </w:r>
    </w:p>
    <w:p>
      <w:pPr>
        <w:ind w:left="360" w:hanging="180"/>
        <w:spacing w:after="40"/>
      </w:pPr>
      <w:r>
        <w:t xml:space="preserve">• </w:t>
      </w:r>
      <w:r>
        <w:t xml:space="preserve">available previous clinical history, current symptoms and prior investigation results can support referral.</w:t>
      </w:r>
    </w:p>
    <w:p>
      <w:r>
        <w:t xml:space="preserve"/>
      </w:r>
    </w:p>
    <w:p>
      <w:pPr>
        <w:spacing w:before="120" w:after="80"/>
      </w:pPr>
      <w:bookmarkStart w:id="33" w:name="section_92_cambridge_university_hospital"/>
      <w:r>
        <w:rPr>
          <w:b/>
          <w:sz w:val="28"/>
          <w:szCs w:val="28"/>
        </w:rPr>
        <w:t xml:space="preserve">9.2 Cambridge University Hospitals — Adult DSD clinic</w:t>
      </w:r>
      <w:bookmarkEnd w:id="33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Cambridge University Hospitals. </w:t>
      </w:r>
      <w:r>
        <w:rPr>
          <w:b/>
        </w:rPr>
        <w:t xml:space="preserve">Multi-disciplinary clinics</w:t>
      </w:r>
    </w:p>
    <w:p>
      <w:pPr>
        <w:ind w:left="360" w:hanging="180"/>
        <w:spacing w:after="40"/>
      </w:pPr>
      <w:r>
        <w:t xml:space="preserve">• </w:t>
      </w:r>
      <w:hyperlink r:id="rId27">
        <w:r>
          <w:t xml:space="preserve">https://www.cuh.nhs.uk/our-services/gynaecology/gynaecology-clinics-and-wards/multi-disciplinary-clinics/</w:t>
        </w:r>
      </w:hyperlink>
    </w:p>
    <w:p>
      <w:r>
        <w:t xml:space="preserve"/>
      </w:r>
    </w:p>
    <w:p>
      <w:r>
        <w:t xml:space="preserve">Navigation points:</w:t>
      </w:r>
    </w:p>
    <w:p>
      <w:pPr>
        <w:ind w:left="360" w:hanging="180"/>
        <w:spacing w:after="40"/>
      </w:pPr>
      <w:r>
        <w:t xml:space="preserve">• </w:t>
      </w:r>
      <w:r>
        <w:t xml:space="preserve">CUH lists an </w:t>
      </w:r>
      <w:r>
        <w:rPr>
          <w:b/>
        </w:rPr>
        <w:t xml:space="preserve">Adult disorders of sexual differentiation (DSD) clinic</w:t>
      </w:r>
      <w:r>
        <w:t xml:space="preserve"> at Addenbrooke’s;</w:t>
      </w:r>
    </w:p>
    <w:p>
      <w:pPr>
        <w:ind w:left="360" w:hanging="180"/>
        <w:spacing w:after="40"/>
      </w:pPr>
      <w:r>
        <w:t xml:space="preserve">• </w:t>
      </w:r>
      <w:r>
        <w:t xml:space="preserve">the public page confirms a multidisciplinary adult service;</w:t>
      </w:r>
    </w:p>
    <w:p>
      <w:pPr>
        <w:ind w:left="360" w:hanging="180"/>
        <w:spacing w:after="40"/>
      </w:pPr>
      <w:r>
        <w:t xml:space="preserve">• </w:t>
      </w:r>
      <w:r>
        <w:t xml:space="preserve">the public page does not provide a detailed pre-referral investigation checklist.</w:t>
      </w:r>
    </w:p>
    <w:p>
      <w:r>
        <w:t xml:space="preserve"/>
      </w:r>
    </w:p>
    <w:p>
      <w:pPr>
        <w:spacing w:before="120" w:after="80"/>
      </w:pPr>
      <w:bookmarkStart w:id="34" w:name="section_93_research_cohort_direction"/>
      <w:r>
        <w:rPr>
          <w:b/>
          <w:sz w:val="28"/>
          <w:szCs w:val="28"/>
        </w:rPr>
        <w:t xml:space="preserve">9.3 Research / cohort direction</w:t>
      </w:r>
      <w:bookmarkEnd w:id="34"/>
    </w:p>
    <w:p>
      <w:r>
        <w:t xml:space="preserve"/>
      </w:r>
    </w:p>
    <w:p>
      <w:r>
        <w:t xml:space="preserve">Reference:</w:t>
      </w:r>
    </w:p>
    <w:p>
      <w:pPr>
        <w:ind w:left="360" w:hanging="180"/>
        <w:spacing w:after="40"/>
      </w:pPr>
      <w:r>
        <w:t xml:space="preserve">• </w:t>
      </w:r>
      <w:r>
        <w:t xml:space="preserve">NIHR BioResource</w:t>
      </w:r>
    </w:p>
    <w:p>
      <w:pPr>
        <w:ind w:left="360" w:hanging="180"/>
        <w:spacing w:after="40"/>
      </w:pPr>
      <w:r>
        <w:t xml:space="preserve">• </w:t>
      </w:r>
      <w:hyperlink r:id="rId28">
        <w:r>
          <w:t xml:space="preserve">https://bioresource.nihr.ac.uk/</w:t>
        </w:r>
      </w:hyperlink>
    </w:p>
    <w:p>
      <w:r>
        <w:t xml:space="preserve"/>
      </w:r>
    </w:p>
    <w:p>
      <w:r>
        <w:t xml:space="preserve">Use:</w:t>
      </w:r>
    </w:p>
    <w:p>
      <w:pPr>
        <w:ind w:left="360" w:hanging="180"/>
        <w:spacing w:after="40"/>
      </w:pPr>
      <w:r>
        <w:t xml:space="preserve">• </w:t>
      </w:r>
      <w:r>
        <w:t xml:space="preserve">possible research or cohort participation where clinically or scientifically appropriate.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research participation is separate from clinical assessment and should not replace specialist clinical care.</w:t>
      </w:r>
    </w:p>
    <w:p>
      <w:r>
        <w:t xml:space="preserve"/>
      </w:r>
    </w:p>
    <w:p>
      <w:pPr>
        <w:spacing w:before="120" w:after="80"/>
      </w:pPr>
      <w:bookmarkStart w:id="35" w:name="section_10_adjacent_non_dsd_clinical_ref"/>
      <w:r>
        <w:rPr>
          <w:b/>
          <w:sz w:val="32"/>
          <w:szCs w:val="32"/>
        </w:rPr>
        <w:t xml:space="preserve">10. Adjacent non-DSD clinical references</w:t>
      </w:r>
      <w:bookmarkEnd w:id="35"/>
    </w:p>
    <w:p>
      <w:r>
        <w:t xml:space="preserve"/>
      </w:r>
    </w:p>
    <w:p>
      <w:r>
        <w:t xml:space="preserve">These sources are retained as adjacent clinical references. They are </w:t>
      </w:r>
      <w:r>
        <w:rPr>
          <w:b/>
        </w:rPr>
        <w:t xml:space="preserve">not DSD-specific evidence</w:t>
      </w:r>
      <w:r>
        <w:t xml:space="preserve">.</w:t>
      </w:r>
    </w:p>
    <w:p>
      <w:r>
        <w:t xml:space="preserve"/>
      </w:r>
    </w:p>
    <w:p>
      <w:pPr>
        <w:spacing w:before="120" w:after="80"/>
      </w:pPr>
      <w:bookmarkStart w:id="36" w:name="section_101_nhs_joint_hypermobility_synd"/>
      <w:r>
        <w:rPr>
          <w:b/>
          <w:sz w:val="28"/>
          <w:szCs w:val="28"/>
        </w:rPr>
        <w:t xml:space="preserve">10.1 NHS — Joint hypermobility syndrome</w:t>
      </w:r>
      <w:bookmarkEnd w:id="36"/>
    </w:p>
    <w:p>
      <w:r>
        <w:t xml:space="preserve"/>
      </w:r>
    </w:p>
    <w:p>
      <w:r>
        <w:t xml:space="preserve">Official source:</w:t>
      </w:r>
    </w:p>
    <w:p>
      <w:pPr>
        <w:ind w:left="360" w:hanging="180"/>
        <w:spacing w:after="40"/>
      </w:pPr>
      <w:r>
        <w:t xml:space="preserve">• </w:t>
      </w:r>
      <w:r>
        <w:t xml:space="preserve">NHS. </w:t>
      </w:r>
      <w:r>
        <w:rPr>
          <w:b/>
        </w:rPr>
        <w:t xml:space="preserve">Joint hypermobility syndrome</w:t>
      </w:r>
    </w:p>
    <w:p>
      <w:pPr>
        <w:ind w:left="360" w:hanging="180"/>
        <w:spacing w:after="40"/>
      </w:pPr>
      <w:r>
        <w:t xml:space="preserve">• </w:t>
      </w:r>
      <w:hyperlink r:id="rId29">
        <w:r>
          <w:t xml:space="preserve">https://www.nhs.uk/conditions/joint-hypermobility-syndrome/</w:t>
        </w:r>
      </w:hyperlink>
    </w:p>
    <w:p>
      <w:r>
        <w:t xml:space="preserve"/>
      </w:r>
    </w:p>
    <w:p>
      <w:r>
        <w:t xml:space="preserve">Navigation use:</w:t>
      </w:r>
    </w:p>
    <w:p>
      <w:pPr>
        <w:ind w:left="360" w:hanging="180"/>
        <w:spacing w:after="40"/>
      </w:pPr>
      <w:r>
        <w:t xml:space="preserve">• </w:t>
      </w:r>
      <w:r>
        <w:t xml:space="preserve">general NHS information on joint hypermobility;</w:t>
      </w:r>
    </w:p>
    <w:p>
      <w:pPr>
        <w:ind w:left="360" w:hanging="180"/>
        <w:spacing w:after="40"/>
      </w:pPr>
      <w:r>
        <w:t xml:space="preserve">• </w:t>
      </w:r>
      <w:r>
        <w:t xml:space="preserve">notes that a GP may use the </w:t>
      </w:r>
      <w:r>
        <w:rPr>
          <w:b/>
        </w:rPr>
        <w:t xml:space="preserve">Beighton scoring system</w:t>
      </w:r>
      <w:r>
        <w:t xml:space="preserve"> when assessing joint flexibility.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joint hypermobility or a high Beighton score does not itself establish DSD.</w:t>
      </w:r>
    </w:p>
    <w:p>
      <w:r>
        <w:t xml:space="preserve"/>
      </w:r>
    </w:p>
    <w:p>
      <w:pPr>
        <w:spacing w:before="120" w:after="80"/>
      </w:pPr>
      <w:bookmarkStart w:id="37" w:name="section_102_beighton_scoring_reference"/>
      <w:r>
        <w:rPr>
          <w:b/>
          <w:sz w:val="28"/>
          <w:szCs w:val="28"/>
        </w:rPr>
        <w:t xml:space="preserve">10.2 Beighton scoring reference</w:t>
      </w:r>
      <w:bookmarkEnd w:id="37"/>
    </w:p>
    <w:p>
      <w:r>
        <w:t xml:space="preserve"/>
      </w:r>
    </w:p>
    <w:p>
      <w:r>
        <w:t xml:space="preserve">Supplementary non-NHS source:</w:t>
      </w:r>
    </w:p>
    <w:p>
      <w:pPr>
        <w:ind w:left="360" w:hanging="180"/>
        <w:spacing w:after="40"/>
      </w:pPr>
      <w:r>
        <w:t xml:space="preserve">• </w:t>
      </w:r>
      <w:r>
        <w:t xml:space="preserve">The Ehlers-Danlos Society. </w:t>
      </w:r>
      <w:r>
        <w:rPr>
          <w:b/>
        </w:rPr>
        <w:t xml:space="preserve">Assessing joint hypermobility accurately</w:t>
      </w:r>
    </w:p>
    <w:p>
      <w:pPr>
        <w:ind w:left="360" w:hanging="180"/>
        <w:spacing w:after="40"/>
      </w:pPr>
      <w:r>
        <w:t xml:space="preserve">• </w:t>
      </w:r>
      <w:hyperlink r:id="rId30">
        <w:r>
          <w:t xml:space="preserve">https://www.ehlers-danlos.com/assessing-joint-hypermobility/</w:t>
        </w:r>
      </w:hyperlink>
    </w:p>
    <w:p>
      <w:r>
        <w:t xml:space="preserve"/>
      </w:r>
    </w:p>
    <w:p>
      <w:r>
        <w:t xml:space="preserve">Navigation use:</w:t>
      </w:r>
    </w:p>
    <w:p>
      <w:pPr>
        <w:ind w:left="360" w:hanging="180"/>
        <w:spacing w:after="40"/>
      </w:pPr>
      <w:r>
        <w:t xml:space="preserve">• </w:t>
      </w:r>
      <w:r>
        <w:t xml:space="preserve">movement and scoring illustration for the Beighton score.</w:t>
      </w:r>
    </w:p>
    <w:p>
      <w:r>
        <w:t xml:space="preserve"/>
      </w:r>
    </w:p>
    <w:p>
      <w:r>
        <w:t xml:space="preserve">Important limitation: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not an NHS source and is retained only as a supplementary reference;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be treated as part of the NHS DSD evidence library.</w:t>
      </w:r>
    </w:p>
    <w:p>
      <w:r>
        <w:t xml:space="preserve"/>
      </w:r>
    </w:p>
    <w:p>
      <w:pPr>
        <w:spacing w:before="120" w:after="80"/>
      </w:pPr>
      <w:bookmarkStart w:id="38" w:name="section_11_future_reference_topics"/>
      <w:r>
        <w:rPr>
          <w:b/>
          <w:sz w:val="32"/>
          <w:szCs w:val="32"/>
        </w:rPr>
        <w:t xml:space="preserve">11. Future reference topics</w:t>
      </w:r>
      <w:bookmarkEnd w:id="38"/>
    </w:p>
    <w:p>
      <w:r>
        <w:t xml:space="preserve"/>
      </w:r>
    </w:p>
    <w:p>
      <w:r>
        <w:t xml:space="preserve">Official NHS / NHS Trust sources can be added later for: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sexual function;</w:t>
      </w:r>
    </w:p>
    <w:p>
      <w:pPr>
        <w:ind w:left="360" w:hanging="180"/>
        <w:spacing w:after="40"/>
      </w:pPr>
      <w:r>
        <w:t xml:space="preserve">• </w:t>
      </w:r>
      <w:r>
        <w:t xml:space="preserve">body image;</w:t>
      </w:r>
    </w:p>
    <w:p>
      <w:pPr>
        <w:ind w:left="360" w:hanging="180"/>
        <w:spacing w:after="40"/>
      </w:pPr>
      <w:r>
        <w:t xml:space="preserve">• </w:t>
      </w:r>
      <w:r>
        <w:t xml:space="preserve">gender identity;</w:t>
      </w:r>
    </w:p>
    <w:p>
      <w:pPr>
        <w:ind w:left="360" w:hanging="180"/>
        <w:spacing w:after="40"/>
      </w:pPr>
      <w:r>
        <w:t xml:space="preserve">• </w:t>
      </w:r>
      <w:r>
        <w:t xml:space="preserve">long-term metabolic monitoring;</w:t>
      </w:r>
    </w:p>
    <w:p>
      <w:pPr>
        <w:ind w:left="360" w:hanging="180"/>
        <w:spacing w:after="40"/>
      </w:pPr>
      <w:r>
        <w:t xml:space="preserve">• </w:t>
      </w:r>
      <w:r>
        <w:t xml:space="preserve">cardiovascular monitoring;</w:t>
      </w:r>
    </w:p>
    <w:p>
      <w:pPr>
        <w:ind w:left="360" w:hanging="180"/>
        <w:spacing w:after="40"/>
      </w:pPr>
      <w:r>
        <w:t xml:space="preserve">• </w:t>
      </w:r>
      <w:r>
        <w:t xml:space="preserve">surgery and ethics;</w:t>
      </w:r>
    </w:p>
    <w:p>
      <w:pPr>
        <w:ind w:left="360" w:hanging="180"/>
        <w:spacing w:after="40"/>
      </w:pPr>
      <w:r>
        <w:t xml:space="preserve">• </w:t>
      </w:r>
      <w:r>
        <w:t xml:space="preserve">longitudinal clinical data;</w:t>
      </w:r>
    </w:p>
    <w:p>
      <w:pPr>
        <w:ind w:left="360" w:hanging="180"/>
        <w:spacing w:after="40"/>
      </w:pPr>
      <w:r>
        <w:t xml:space="preserve">• </w:t>
      </w:r>
      <w:r>
        <w:t xml:space="preserve">research follow-up.</w:t>
      </w:r>
    </w:p>
    <w:p>
      <w:r>
        <w:t xml:space="preserve"/>
      </w:r>
    </w:p>
    <w:p>
      <w:r>
        <w:t xml:space="preserve">These topics should only be added when a sufficiently relevant official source has been identified.</w:t>
      </w:r>
    </w:p>
    <w:p>
      <w:r>
        <w:t xml:space="preserve"/>
      </w:r>
    </w:p>
    <w:p>
      <w:pPr>
        <w:spacing w:before="120" w:after="80"/>
      </w:pPr>
      <w:bookmarkStart w:id="39" w:name="questions_requests"/>
      <w:r>
        <w:rPr>
          <w:b/>
          <w:sz w:val="36"/>
          <w:szCs w:val="36"/>
        </w:rPr>
        <w:t xml:space="preserve">Questions / Requests</w:t>
      </w:r>
      <w:bookmarkEnd w:id="39"/>
    </w:p>
    <w:p>
      <w:r>
        <w:t xml:space="preserve"/>
      </w:r>
    </w:p>
    <w:p>
      <w:r>
        <w:t xml:space="preserve">For clinical or referral use: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Use this document as a reference and navigation aid only.</w:t>
      </w:r>
    </w:p>
    <w:p>
      <w:pPr>
        <w:ind w:left="360" w:hanging="180"/>
        <w:spacing w:after="40"/>
      </w:pPr>
      <w:r>
        <w:t xml:space="preserve">• </w:t>
      </w:r>
      <w:r>
        <w:t xml:space="preserve">Check the current official source before relying on any testing criterion, referral rule, or service detail.</w:t>
      </w:r>
    </w:p>
    <w:p>
      <w:pPr>
        <w:ind w:left="360" w:hanging="180"/>
        <w:spacing w:after="40"/>
      </w:pPr>
      <w:r>
        <w:t xml:space="preserve">• </w:t>
      </w:r>
      <w:r>
        <w:t xml:space="preserve">Keep personal clinical observations separate from official reference material.</w:t>
      </w:r>
    </w:p>
    <w:p>
      <w:pPr>
        <w:ind w:left="360" w:hanging="180"/>
        <w:spacing w:after="40"/>
      </w:pPr>
      <w:r>
        <w:t xml:space="preserve">• </w:t>
      </w:r>
      <w:r>
        <w:t xml:space="preserve">Do not treat symptom overlap or a visible feature as proof of a diagnosis.</w:t>
      </w:r>
    </w:p>
    <w:p>
      <w:pPr>
        <w:ind w:left="360" w:hanging="180"/>
        <w:spacing w:after="40"/>
      </w:pPr>
      <w:r>
        <w:t xml:space="preserve">• </w:t>
      </w:r>
      <w:r>
        <w:t xml:space="preserve">Where a genomic testing route is relevant, distinguish between clinical features, testing eligibility, and specialist diagnostic assessment.</w:t>
      </w:r>
    </w:p>
    <w:p>
      <w:r>
        <w:t xml:space="preserve"/>
      </w:r>
    </w:p>
    <w:p>
      <w:pPr>
        <w:spacing w:before="120" w:after="80"/>
      </w:pPr>
      <w:bookmarkStart w:id="40" w:name="notes"/>
      <w:r>
        <w:rPr>
          <w:b/>
          <w:sz w:val="36"/>
          <w:szCs w:val="36"/>
        </w:rPr>
        <w:t xml:space="preserve">Notes</w:t>
      </w:r>
      <w:bookmarkEnd w:id="40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official reference library should be preserved even when a particular condition later appears unlikely.</w:t>
      </w:r>
    </w:p>
    <w:p>
      <w:pPr>
        <w:ind w:left="360" w:hanging="180"/>
        <w:spacing w:after="40"/>
      </w:pPr>
      <w:r>
        <w:t xml:space="preserve">• </w:t>
      </w:r>
      <w:r>
        <w:t xml:space="preserve">Personal lower-limb, upper-limb, skin, systemic or other clinical records should remain in their dedicated files and only be cross-referenced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Future NHS updates should be incorporated here before relying on downstream referral material.</w:t>
      </w:r>
    </w:p>
    <w:p>
      <w:pPr>
        <w:ind w:left="360" w:hanging="180"/>
        <w:spacing w:after="40"/>
      </w:pPr>
      <w:r>
        <w:t xml:space="preserve">• </w:t>
      </w:r>
      <w:r>
        <w:t xml:space="preserve">This document is a navigation and evidence-organising tool, not a self-diagnosis or request for a specific investigation.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  <Relationship
    Id="rId1"
    Type="http://schemas.openxmlformats.org/officeDocument/2006/relationships/hyperlink"
    Target="https://www.genomicseducation.hee.nhs.uk/genotes/knowledge-hub/differences-in-sex-development/"
    TargetMode="External"
  />
  <Relationship
    Id="rId2"
    Type="http://schemas.openxmlformats.org/officeDocument/2006/relationships/hyperlink"
    Target="https://www.nhs.uk/conditions/differences-in-sex-development/"
    TargetMode="External"
  />
  <Relationship
    Id="rId3"
    Type="http://schemas.openxmlformats.org/officeDocument/2006/relationships/hyperlink"
    Target="https://www.england.nhs.uk/publication/national-genomic-test-directories/"
    TargetMode="External"
  />
  <Relationship
    Id="rId4"
    Type="http://schemas.openxmlformats.org/officeDocument/2006/relationships/hyperlink"
    Target="https://www.genomicseducation.hee.nhs.uk/genotes/in-the-clinic/presentation-patient-aged-18-with-delayed-puberty/"
    TargetMode="External"
  />
  <Relationship
    Id="rId5"
    Type="http://schemas.openxmlformats.org/officeDocument/2006/relationships/hyperlink"
    Target="https://www.genomicseducation.hee.nhs.uk/genotes/knowledge-hub/congenital-hypogonadotropic-hypogonadism/"
    TargetMode="External"
  />
  <Relationship
    Id="rId6"
    Type="http://schemas.openxmlformats.org/officeDocument/2006/relationships/hyperlink"
    Target="https://www.nhs.uk/conditions/klinefelters-syndrome/"
    TargetMode="External"
  />
  <Relationship
    Id="rId7"
    Type="http://schemas.openxmlformats.org/officeDocument/2006/relationships/hyperlink"
    Target="https://www.nhs.uk/conditions/androgen-insensitivity-syndrome/"
    TargetMode="External"
  />
  <Relationship
    Id="rId8"
    Type="http://schemas.openxmlformats.org/officeDocument/2006/relationships/hyperlink"
    Target="https://www.genomicseducation.hee.nhs.uk/genotes/knowledge-hub/congenital-adrenal-hyperplasia/"
    TargetMode="External"
  />
  <Relationship
    Id="rId9"
    Type="http://schemas.openxmlformats.org/officeDocument/2006/relationships/hyperlink"
    Target="https://www.genomicseducation.hee.nhs.uk/genotes/knowledge-hub/turner-syndrome/"
    TargetMode="External"
  />
  <Relationship
    Id="rId10"
    Type="http://schemas.openxmlformats.org/officeDocument/2006/relationships/hyperlink"
    Target="https://www.imperial.nhs.uk/our-services/gynaecology/conditions-and-treatments/mayer-rokitansky-kuster-hauser-syndrome"
    TargetMode="External"
  />
  <Relationship
    Id="rId11"
    Type="http://schemas.openxmlformats.org/officeDocument/2006/relationships/hyperlink"
    Target="https://www.uclh.nhs.uk/patients-and-visitors/patient-information-pages/complete-androgen-insensitivity-syndrome-cais"
    TargetMode="External"
  />
  <Relationship
    Id="rId12"
    Type="http://schemas.openxmlformats.org/officeDocument/2006/relationships/hyperlink"
    Target="https://www.nhs.uk/conditions/androgen-insensitivity-syndrome/"
    TargetMode="External"
  />
  <Relationship
    Id="rId13"
    Type="http://schemas.openxmlformats.org/officeDocument/2006/relationships/hyperlink"
    Target="https://www.nhs.uk/conditions/osteoporosis/causes/"
    TargetMode="External"
  />
  <Relationship
    Id="rId14"
    Type="http://schemas.openxmlformats.org/officeDocument/2006/relationships/hyperlink"
    Target="https://www.nhs.uk/tests-and-treatments/hysterectomy/considerations/"
    TargetMode="External"
  />
  <Relationship
    Id="rId15"
    Type="http://schemas.openxmlformats.org/officeDocument/2006/relationships/hyperlink"
    Target="https://www.nhs.uk/tests-and-treatments/hysterectomy/"
    TargetMode="External"
  />
  <Relationship
    Id="rId16"
    Type="http://schemas.openxmlformats.org/officeDocument/2006/relationships/hyperlink"
    Target="https://www.uclh.nhs.uk/patients-and-visitors/patient-information-pages/complete-androgen-insensitivity-syndrome-cais"
    TargetMode="External"
  />
  <Relationship
    Id="rId17"
    Type="http://schemas.openxmlformats.org/officeDocument/2006/relationships/hyperlink"
    Target="https://www.uclh.nhs.uk/patients-and-visitors/patient-information-pages/laparoscopic-gonadectomy"
    TargetMode="External"
  />
  <Relationship
    Id="rId18"
    Type="http://schemas.openxmlformats.org/officeDocument/2006/relationships/hyperlink"
    Target="https://www.uclh.nhs.uk/patients-and-visitors/patient-information-pages/inguinal-gonadectomy"
    TargetMode="External"
  />
  <Relationship
    Id="rId19"
    Type="http://schemas.openxmlformats.org/officeDocument/2006/relationships/hyperlink"
    Target="https://www.genomicseducation.hee.nhs.uk/genotes/knowledge-hub/congenital-hypogonadotropic-hypogonadism/"
    TargetMode="External"
  />
  <Relationship
    Id="rId20"
    Type="http://schemas.openxmlformats.org/officeDocument/2006/relationships/hyperlink"
    Target="https://www.nhs.uk/conditions/differences-in-sex-development/"
    TargetMode="External"
  />
  <Relationship
    Id="rId21"
    Type="http://schemas.openxmlformats.org/officeDocument/2006/relationships/hyperlink"
    Target="https://www.uclh.nhs.uk/patients-and-visitors/patient-information-pages/complex-congenital-gynaecology-and-differences-sex-development"
    TargetMode="External"
  />
  <Relationship
    Id="rId22"
    Type="http://schemas.openxmlformats.org/officeDocument/2006/relationships/hyperlink"
    Target="https://www.uclh.nhs.uk/our-services/find-service/womens-health-1/womens-health-psychological-services-whps"
    TargetMode="External"
  />
  <Relationship
    Id="rId23"
    Type="http://schemas.openxmlformats.org/officeDocument/2006/relationships/hyperlink"
    Target="https://www.uclh.nhs.uk/our-services/find-service/womens-health-1/gynaecology/differences-sex-development"
    TargetMode="External"
  />
  <Relationship
    Id="rId24"
    Type="http://schemas.openxmlformats.org/officeDocument/2006/relationships/hyperlink"
    Target="https://www.england.nhs.uk/wp-content/uploads/2019/07/1654-Congenital-Gynaecological-Anomalies-Service-Spec.pdf"
    TargetMode="External"
  />
  <Relationship
    Id="rId25"
    Type="http://schemas.openxmlformats.org/officeDocument/2006/relationships/hyperlink"
    Target="https://www.uclh.nhs.uk/our-services/find-service/womens-health-1/gynaecology/reproductive-medicine-unit/counselling-service-information"
    TargetMode="External"
  />
  <Relationship
    Id="rId26"
    Type="http://schemas.openxmlformats.org/officeDocument/2006/relationships/hyperlink"
    Target="https://www.uclh.nhs.uk/our-services/find-service/womens-health-1/gynaecology/differences-sex-development"
    TargetMode="External"
  />
  <Relationship
    Id="rId27"
    Type="http://schemas.openxmlformats.org/officeDocument/2006/relationships/hyperlink"
    Target="https://www.cuh.nhs.uk/our-services/gynaecology/gynaecology-clinics-and-wards/multi-disciplinary-clinics/"
    TargetMode="External"
  />
  <Relationship
    Id="rId28"
    Type="http://schemas.openxmlformats.org/officeDocument/2006/relationships/hyperlink"
    Target="https://bioresource.nihr.ac.uk/"
    TargetMode="External"
  />
  <Relationship
    Id="rId29"
    Type="http://schemas.openxmlformats.org/officeDocument/2006/relationships/hyperlink"
    Target="https://www.nhs.uk/conditions/joint-hypermobility-syndrome/"
    TargetMode="External"
  />
  <Relationship
    Id="rId30"
    Type="http://schemas.openxmlformats.org/officeDocument/2006/relationships/hyperlink"
    Target="https://www.ehlers-danlos.com/assessing-joint-hypermobility/"
    TargetMode="External"
  />
</Relationships>
</file>