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
  <Relationship
    Id="rId1"
    Type="http://schemas.openxmlformats.org/officeDocument/2006/relationships/officeDocument"
    Target="word/document.xml"
  />
</Relationships>
</file>

<file path=word/document.xml><?xml version="1.0" encoding="utf-8"?>
<w:document xmlns:w="http://schemas.openxmlformats.org/wordprocessingml/2006/main" xmlns:r="http://schemas.openxmlformats.org/officeDocument/2006/relationships">
  <w:body>
    <w:p>
      <w:pPr>
        <w:spacing w:before="120" w:after="80"/>
      </w:pPr>
      <w:bookmarkStart w:id="1" w:name="gp_cover_letter_adult_dsd_referral_suppo"/>
      <w:r>
        <w:rPr>
          <w:b/>
          <w:sz w:val="40"/>
          <w:szCs w:val="40"/>
        </w:rPr>
        <w:t xml:space="preserve">GP Cover Letter: Adult DSD Referral Supporting Information</w:t>
      </w:r>
      <w:bookmarkEnd w:id="1"/>
    </w:p>
    <w:p>
      <w:r>
        <w:t xml:space="preserve"/>
      </w:r>
    </w:p>
    <w:p>
      <w:r>
        <w:t xml:space="preserve">Date: Tuesday 15 September 2026</w:t>
      </w:r>
    </w:p>
    <w:p>
      <w:r>
        <w:t xml:space="preserve"/>
      </w:r>
    </w:p>
    <w:p>
      <w:r>
        <w:t xml:space="preserve">Last Updated: Tuesday 15 September 2026</w:t>
      </w:r>
    </w:p>
    <w:p>
      <w:r>
        <w:t xml:space="preserve"/>
      </w:r>
    </w:p>
    <w:p>
      <w:r>
        <w:t xml:space="preserve">Type: Cover Letter</w:t>
      </w:r>
    </w:p>
    <w:p>
      <w:r>
        <w:t xml:space="preserve"/>
      </w:r>
    </w:p>
    <w:p>
      <w:pPr>
        <w:spacing w:before="120" w:after="80"/>
      </w:pPr>
      <w:bookmarkStart w:id="2" w:name="summary"/>
      <w:r>
        <w:rPr>
          <w:b/>
          <w:sz w:val="36"/>
          <w:szCs w:val="36"/>
        </w:rPr>
        <w:t xml:space="preserve">Summary</w:t>
      </w:r>
      <w:bookmarkEnd w:id="2"/>
    </w:p>
    <w:p>
      <w:r>
        <w:t xml:space="preserve"/>
      </w:r>
    </w:p>
    <w:p>
      <w:r>
        <w:t xml:space="preserve">Following discussion with my GP, referral to an appropriate </w:t>
      </w:r>
      <w:r>
        <w:rPr>
          <w:b/>
        </w:rPr>
        <w:t xml:space="preserve">adult Differences in Sex Development (DSD) specialist service</w:t>
      </w:r>
      <w:r>
        <w:t xml:space="preserve"> has been agreed. This letter summarises the main background and points that may be useful when preparing or forwarding that referral.</w:t>
      </w:r>
    </w:p>
    <w:p>
      <w:r>
        <w:t xml:space="preserve"/>
      </w:r>
    </w:p>
    <w:p>
      <w:r>
        <w:t xml:space="preserve">A separate </w:t>
      </w:r>
      <w:r>
        <w:rPr>
          <w:b/>
        </w:rPr>
        <w:t xml:space="preserve">Detailed DSD Clinical Background and Feature Cross-Reference</w:t>
      </w:r>
      <w:r>
        <w:t xml:space="preserve"> contains the fuller patient-prepared background. It is supporting material rather than a substitute for the referral letter or original NHS records.</w:t>
      </w:r>
    </w:p>
    <w:p>
      <w:r>
        <w:t xml:space="preserve"/>
      </w:r>
    </w:p>
    <w:p>
      <w:r>
        <w:t xml:space="preserve">I am not asking the GP to diagnose a specific DSD or to arrange a particular genomic test. My aim is for the overall developmental / endocrine pattern to be assessed by an appropriate specialist service.</w:t>
      </w:r>
    </w:p>
    <w:p>
      <w:r>
        <w:t xml:space="preserve"/>
      </w:r>
    </w:p>
    <w:p>
      <w:r>
        <w:t xml:space="preserve">My preferred first referral destination is the </w:t>
      </w:r>
      <w:r>
        <w:rPr>
          <w:b/>
        </w:rPr>
        <w:t xml:space="preserve">Adult DSD clinic at Cambridge University Hospitals NHS Foundation Trust (CUH) / Addenbrooke’s</w:t>
      </w:r>
      <w:r>
        <w:t xml:space="preserve">.</w:t>
      </w:r>
    </w:p>
    <w:p>
      <w:r>
        <w:t xml:space="preserve"/>
      </w:r>
    </w:p>
    <w:p>
      <w:r>
        <w:t xml:space="preserve">I would prefer to start with CUH rather than seek referral to more than one specialist centre at the same time. If CUH considers that input from </w:t>
      </w:r>
      <w:r>
        <w:rPr>
          <w:b/>
        </w:rPr>
        <w:t xml:space="preserve">University College London Hospitals NHS Foundation Trust (UCLH)</w:t>
      </w:r>
      <w:r>
        <w:t xml:space="preserve"> or another specialist centre would be useful for clinical or scientific reasons, I would be happy to attend.</w:t>
      </w:r>
    </w:p>
    <w:p>
      <w:r>
        <w:t xml:space="preserve"/>
      </w:r>
    </w:p>
    <w:p>
      <w:pPr>
        <w:spacing w:before="120" w:after="80"/>
      </w:pPr>
      <w:bookmarkStart w:id="3" w:name="background"/>
      <w:r>
        <w:rPr>
          <w:b/>
          <w:sz w:val="36"/>
          <w:szCs w:val="36"/>
        </w:rPr>
        <w:t xml:space="preserve">Background</w:t>
      </w:r>
      <w:bookmarkEnd w:id="3"/>
    </w:p>
    <w:p>
      <w:r>
        <w:t xml:space="preserve"/>
      </w:r>
    </w:p>
    <w:p>
      <w:r>
        <w:t xml:space="preserve">This is an </w:t>
      </w:r>
      <w:r>
        <w:rPr>
          <w:b/>
        </w:rPr>
        <w:t xml:space="preserve">adult first presentation</w:t>
      </w:r>
      <w:r>
        <w:t xml:space="preserve">, without a previous established DSD diagnosis.</w:t>
      </w:r>
    </w:p>
    <w:p>
      <w:r>
        <w:t xml:space="preserve"/>
      </w:r>
    </w:p>
    <w:p>
      <w:r>
        <w:t xml:space="preserve">The main features I would like to have assessed are:</w:t>
      </w:r>
    </w:p>
    <w:p>
      <w:r>
        <w:t xml:space="preserve"/>
      </w:r>
    </w:p>
    <w:p>
      <w:pPr>
        <w:ind w:left="360" w:hanging="180"/>
        <w:spacing w:after="40"/>
      </w:pPr>
      <w:r>
        <w:t xml:space="preserve">• </w:t>
      </w:r>
      <w:r>
        <w:rPr>
          <w:b/>
        </w:rPr>
        <w:t xml:space="preserve">Possible reduced penile size / possible micropenis</w:t>
      </w:r>
    </w:p>
    <w:p>
      <w:pPr>
        <w:ind w:left="720" w:hanging="180"/>
        <w:spacing w:after="40"/>
      </w:pPr>
      <w:r>
        <w:t xml:space="preserve">• </w:t>
      </w:r>
      <w:r>
        <w:t xml:space="preserve">Not formally assessed using stretched penile length measurement.</w:t>
      </w:r>
    </w:p>
    <w:p>
      <w:pPr>
        <w:ind w:left="720" w:hanging="180"/>
        <w:spacing w:after="40"/>
      </w:pPr>
      <w:r>
        <w:t xml:space="preserve">• </w:t>
      </w:r>
      <w:r>
        <w:t xml:space="preserve">This remains a possible clinically confirmable feature rather than a self-diagnosis.</w:t>
      </w:r>
    </w:p>
    <w:p>
      <w:r>
        <w:t xml:space="preserve"/>
      </w:r>
    </w:p>
    <w:p>
      <w:pPr>
        <w:ind w:left="360" w:hanging="180"/>
        <w:spacing w:after="40"/>
      </w:pPr>
      <w:r>
        <w:t xml:space="preserve">• </w:t>
      </w:r>
      <w:r>
        <w:rPr>
          <w:b/>
        </w:rPr>
        <w:t xml:space="preserve">Possible low testicular volume / small testes</w:t>
      </w:r>
    </w:p>
    <w:p>
      <w:pPr>
        <w:ind w:left="720" w:hanging="180"/>
        <w:spacing w:after="40"/>
      </w:pPr>
      <w:r>
        <w:t xml:space="preserve">• </w:t>
      </w:r>
      <w:r>
        <w:t xml:space="preserve">Suspected but not formally measured using an orchidometer or ultrasound.</w:t>
      </w:r>
    </w:p>
    <w:p>
      <w:r>
        <w:t xml:space="preserve"/>
      </w:r>
    </w:p>
    <w:p>
      <w:pPr>
        <w:ind w:left="360" w:hanging="180"/>
        <w:spacing w:after="40"/>
      </w:pPr>
      <w:r>
        <w:t xml:space="preserve">• </w:t>
      </w:r>
      <w:r>
        <w:rPr>
          <w:b/>
        </w:rPr>
        <w:t xml:space="preserve">Possible historical or current abnormal testicular position</w:t>
      </w:r>
    </w:p>
    <w:p>
      <w:pPr>
        <w:ind w:left="720" w:hanging="180"/>
        <w:spacing w:after="40"/>
      </w:pPr>
      <w:r>
        <w:t xml:space="preserve">• </w:t>
      </w:r>
      <w:r>
        <w:t xml:space="preserve">Congenital cryptorchidism is not established.</w:t>
      </w:r>
    </w:p>
    <w:p>
      <w:pPr>
        <w:ind w:left="720" w:hanging="180"/>
        <w:spacing w:after="40"/>
      </w:pPr>
      <w:r>
        <w:t xml:space="preserve">• </w:t>
      </w:r>
      <w:r>
        <w:t xml:space="preserve">Testicular position has not yet been professionally clarified in the context of this concern.</w:t>
      </w:r>
    </w:p>
    <w:p>
      <w:r>
        <w:t xml:space="preserve"/>
      </w:r>
    </w:p>
    <w:p>
      <w:pPr>
        <w:ind w:left="360" w:hanging="180"/>
        <w:spacing w:after="40"/>
      </w:pPr>
      <w:r>
        <w:t xml:space="preserve">• </w:t>
      </w:r>
      <w:r>
        <w:rPr>
          <w:b/>
        </w:rPr>
        <w:t xml:space="preserve">Previously measured body proportions</w:t>
      </w:r>
    </w:p>
    <w:p>
      <w:pPr>
        <w:ind w:left="720" w:hanging="180"/>
        <w:spacing w:after="40"/>
      </w:pPr>
      <w:r>
        <w:t xml:space="preserve">• </w:t>
      </w:r>
      <w:r>
        <w:t xml:space="preserve">I recall a clinician measuring my arm span with both arms fully extended and finding that it was greater than my standing height.</w:t>
      </w:r>
    </w:p>
    <w:p>
      <w:pPr>
        <w:ind w:left="720" w:hanging="180"/>
        <w:spacing w:after="40"/>
      </w:pPr>
      <w:r>
        <w:t xml:space="preserve">• </w:t>
      </w:r>
      <w:r>
        <w:t xml:space="preserve">Exact measurements and formal interpretation are not currently available.</w:t>
      </w:r>
    </w:p>
    <w:p>
      <w:r>
        <w:t xml:space="preserve"/>
      </w:r>
    </w:p>
    <w:p>
      <w:pPr>
        <w:ind w:left="360" w:hanging="180"/>
        <w:spacing w:after="40"/>
      </w:pPr>
      <w:r>
        <w:t xml:space="preserve">• </w:t>
      </w:r>
      <w:r>
        <w:rPr>
          <w:b/>
        </w:rPr>
        <w:t xml:space="preserve">Developmental background</w:t>
      </w:r>
    </w:p>
    <w:p>
      <w:pPr>
        <w:ind w:left="720" w:hanging="180"/>
        <w:spacing w:after="40"/>
      </w:pPr>
      <w:r>
        <w:t xml:space="preserve">• </w:t>
      </w:r>
      <w:r>
        <w:t xml:space="preserve">Family recollection suggests that I spoke very little before approximately age three.</w:t>
      </w:r>
    </w:p>
    <w:p>
      <w:pPr>
        <w:ind w:left="720" w:hanging="180"/>
        <w:spacing w:after="40"/>
      </w:pPr>
      <w:r>
        <w:t xml:space="preserve">• </w:t>
      </w:r>
      <w:r>
        <w:t xml:space="preserve">I also report reading difficulty, and an ADHD assessment pathway is in progress.</w:t>
      </w:r>
    </w:p>
    <w:p>
      <w:pPr>
        <w:ind w:left="720" w:hanging="180"/>
        <w:spacing w:after="40"/>
      </w:pPr>
      <w:r>
        <w:t xml:space="preserve">• </w:t>
      </w:r>
      <w:r>
        <w:t xml:space="preserve">These features are nonspecific but are retained as potentially relevant developmental background.</w:t>
      </w:r>
    </w:p>
    <w:p>
      <w:r>
        <w:t xml:space="preserve"/>
      </w:r>
    </w:p>
    <w:p>
      <w:r>
        <w:t xml:space="preserve">Several other potentially relevant areas remain unknown because they require clinical assessment rather than self-observation, including puberty pattern, hormone status, chromosome pattern, gonadal / internal reproductive anatomy, fertility status and whether clinically significant gynaecomastia is present.</w:t>
      </w:r>
    </w:p>
    <w:p>
      <w:r>
        <w:t xml:space="preserve"/>
      </w:r>
    </w:p>
    <w:p>
      <w:r>
        <w:t xml:space="preserve">These features do not establish Klinefelter syndrome, AIS, congenital hypogonadotropic hypogonadism, CAH or any other specific diagnosis.</w:t>
      </w:r>
    </w:p>
    <w:p>
      <w:r>
        <w:t xml:space="preserve"/>
      </w:r>
    </w:p>
    <w:p>
      <w:pPr>
        <w:spacing w:before="120" w:after="80"/>
      </w:pPr>
      <w:bookmarkStart w:id="4" w:name="details"/>
      <w:r>
        <w:rPr>
          <w:b/>
          <w:sz w:val="36"/>
          <w:szCs w:val="36"/>
        </w:rPr>
        <w:t xml:space="preserve">Details</w:t>
      </w:r>
      <w:bookmarkEnd w:id="4"/>
    </w:p>
    <w:p>
      <w:r>
        <w:t xml:space="preserve"/>
      </w:r>
    </w:p>
    <w:p>
      <w:pPr>
        <w:spacing w:before="120" w:after="80"/>
      </w:pPr>
      <w:bookmarkStart w:id="5" w:name="section_1_clinical_assessment_rather_tha"/>
      <w:r>
        <w:rPr>
          <w:b/>
          <w:sz w:val="32"/>
          <w:szCs w:val="32"/>
        </w:rPr>
        <w:t xml:space="preserve">1. Clinical assessment rather than self-diagnosis</w:t>
      </w:r>
      <w:bookmarkEnd w:id="5"/>
    </w:p>
    <w:p>
      <w:r>
        <w:t xml:space="preserve"/>
      </w:r>
    </w:p>
    <w:p>
      <w:r>
        <w:t xml:space="preserve">Several key questions remain clinically assessable rather than established.</w:t>
      </w:r>
    </w:p>
    <w:p>
      <w:r>
        <w:t xml:space="preserve"/>
      </w:r>
    </w:p>
    <w:p>
      <w:r>
        <w:t xml:space="preserve">These include:</w:t>
      </w:r>
    </w:p>
    <w:p>
      <w:r>
        <w:t xml:space="preserve"/>
      </w:r>
    </w:p>
    <w:p>
      <w:pPr>
        <w:ind w:left="360" w:hanging="180"/>
        <w:spacing w:after="40"/>
      </w:pPr>
      <w:r>
        <w:t xml:space="preserve">• </w:t>
      </w:r>
      <w:r>
        <w:t xml:space="preserve">formal penile and testicular measurements;</w:t>
      </w:r>
    </w:p>
    <w:p>
      <w:pPr>
        <w:ind w:left="360" w:hanging="180"/>
        <w:spacing w:after="40"/>
      </w:pPr>
      <w:r>
        <w:t xml:space="preserve">• </w:t>
      </w:r>
      <w:r>
        <w:t xml:space="preserve">genital and testicular-position examination;</w:t>
      </w:r>
    </w:p>
    <w:p>
      <w:pPr>
        <w:ind w:left="360" w:hanging="180"/>
        <w:spacing w:after="40"/>
      </w:pPr>
      <w:r>
        <w:t xml:space="preserve">• </w:t>
      </w:r>
      <w:r>
        <w:t xml:space="preserve">assessment for clinically significant gynaecomastia;</w:t>
      </w:r>
    </w:p>
    <w:p>
      <w:pPr>
        <w:ind w:left="360" w:hanging="180"/>
        <w:spacing w:after="40"/>
      </w:pPr>
      <w:r>
        <w:t xml:space="preserve">• </w:t>
      </w:r>
      <w:r>
        <w:t xml:space="preserve">puberty and sexual-development history;</w:t>
      </w:r>
    </w:p>
    <w:p>
      <w:pPr>
        <w:ind w:left="360" w:hanging="180"/>
        <w:spacing w:after="40"/>
      </w:pPr>
      <w:r>
        <w:t xml:space="preserve">• </w:t>
      </w:r>
      <w:r>
        <w:t xml:space="preserve">hormone status;</w:t>
      </w:r>
    </w:p>
    <w:p>
      <w:pPr>
        <w:ind w:left="360" w:hanging="180"/>
        <w:spacing w:after="40"/>
      </w:pPr>
      <w:r>
        <w:t xml:space="preserve">• </w:t>
      </w:r>
      <w:r>
        <w:t xml:space="preserve">chromosome pattern;</w:t>
      </w:r>
    </w:p>
    <w:p>
      <w:pPr>
        <w:ind w:left="360" w:hanging="180"/>
        <w:spacing w:after="40"/>
      </w:pPr>
      <w:r>
        <w:t xml:space="preserve">• </w:t>
      </w:r>
      <w:r>
        <w:t xml:space="preserve">gonadal / internal reproductive anatomy;</w:t>
      </w:r>
    </w:p>
    <w:p>
      <w:pPr>
        <w:ind w:left="360" w:hanging="180"/>
        <w:spacing w:after="40"/>
      </w:pPr>
      <w:r>
        <w:t xml:space="preserve">• </w:t>
      </w:r>
      <w:r>
        <w:t xml:space="preserve">fertility status.</w:t>
      </w:r>
    </w:p>
    <w:p>
      <w:r>
        <w:t xml:space="preserve"/>
      </w:r>
    </w:p>
    <w:p>
      <w:r>
        <w:t xml:space="preserve">I am happy for the GP or specialist to decide which examinations, blood tests, imaging or genetic investigations are clinically appropriate. I am not requesting every possible investigation or claiming eligibility for a particular genomic testing route.</w:t>
      </w:r>
    </w:p>
    <w:p>
      <w:r>
        <w:t xml:space="preserve"/>
      </w:r>
    </w:p>
    <w:p>
      <w:pPr>
        <w:spacing w:before="120" w:after="80"/>
      </w:pPr>
      <w:bookmarkStart w:id="6" w:name="section_2_bone_health_and_hormone_releva"/>
      <w:r>
        <w:rPr>
          <w:b/>
          <w:sz w:val="32"/>
          <w:szCs w:val="32"/>
        </w:rPr>
        <w:t xml:space="preserve">2. Bone health and hormone relevance</w:t>
      </w:r>
      <w:bookmarkEnd w:id="6"/>
    </w:p>
    <w:p>
      <w:r>
        <w:t xml:space="preserve"/>
      </w:r>
    </w:p>
    <w:p>
      <w:r>
        <w:t xml:space="preserve">I have a separate ongoing lower-limb musculoskeletal / functional problem that has required FCP and MSK assessment and rehabilitation.</w:t>
      </w:r>
    </w:p>
    <w:p>
      <w:r>
        <w:t xml:space="preserve"/>
      </w:r>
    </w:p>
    <w:p>
      <w:r>
        <w:t xml:space="preserve">This does </w:t>
      </w:r>
      <w:r>
        <w:rPr>
          <w:b/>
        </w:rPr>
        <w:t xml:space="preserve">not</w:t>
      </w:r>
      <w:r>
        <w:t xml:space="preserve"> establish osteoporosis, metabolic bone disease or a hormonal cause.</w:t>
      </w:r>
    </w:p>
    <w:p>
      <w:r>
        <w:t xml:space="preserve"/>
      </w:r>
    </w:p>
    <w:p>
      <w:r>
        <w:t xml:space="preserve">If specialist assessment were eventually to identify clinically significant hormone deficiency or another DSD-related reason for considering bone health or hormone replacement, I would be open to appropriate assessment and treatment. I am </w:t>
      </w:r>
      <w:r>
        <w:rPr>
          <w:b/>
        </w:rPr>
        <w:t xml:space="preserve">not requesting HRT on the basis of the current MSK problem</w:t>
      </w:r>
      <w:r>
        <w:t xml:space="preserve">.</w:t>
      </w:r>
    </w:p>
    <w:p>
      <w:r>
        <w:t xml:space="preserve"/>
      </w:r>
    </w:p>
    <w:p>
      <w:pPr>
        <w:spacing w:before="120" w:after="80"/>
      </w:pPr>
      <w:bookmarkStart w:id="7" w:name="section_3_how_the_dsd_referral_route_dev"/>
      <w:r>
        <w:rPr>
          <w:b/>
          <w:sz w:val="32"/>
          <w:szCs w:val="32"/>
        </w:rPr>
        <w:t xml:space="preserve">3. How the DSD referral route developed</w:t>
      </w:r>
      <w:bookmarkEnd w:id="7"/>
    </w:p>
    <w:p>
      <w:r>
        <w:t xml:space="preserve"/>
      </w:r>
    </w:p>
    <w:p>
      <w:r>
        <w:t xml:space="preserve">My original plan was to manage transition-related care independently and later attend an overseas surgical service in Thailand. A practical difficulty was that the overseas pathway expected a period of HRT beforehand, while at that stage I did not have a sufficiently stable long-term medication supply. This led me to look at UK options for hormone care.</w:t>
      </w:r>
    </w:p>
    <w:p>
      <w:r>
        <w:t xml:space="preserve"/>
      </w:r>
    </w:p>
    <w:p>
      <w:r>
        <w:t xml:space="preserve">While reviewing a Gender Identity Clinic (GIC) self-referral form, I noticed a reference to a </w:t>
      </w:r>
      <w:r>
        <w:rPr>
          <w:b/>
        </w:rPr>
        <w:t xml:space="preserve">DSD condition</w:t>
      </w:r>
      <w:r>
        <w:t xml:space="preserve"> and began researching what this meant. That research led me to NHS / NHS England DSD and rare-disease / genomic material, and to adult specialist DSD services at </w:t>
      </w:r>
      <w:r>
        <w:rPr>
          <w:b/>
        </w:rPr>
        <w:t xml:space="preserve">Cambridge University Hospitals NHS Foundation Trust (CUH)</w:t>
      </w:r>
      <w:r>
        <w:t xml:space="preserve"> and </w:t>
      </w:r>
      <w:r>
        <w:rPr>
          <w:b/>
        </w:rPr>
        <w:t xml:space="preserve">University College London Hospitals NHS Foundation Trust (UCLH)</w:t>
      </w:r>
      <w:r>
        <w:t xml:space="preserve">.</w:t>
      </w:r>
    </w:p>
    <w:p>
      <w:r>
        <w:t xml:space="preserve"/>
      </w:r>
    </w:p>
    <w:p>
      <w:r>
        <w:t xml:space="preserve">As I compared the published material with my own developmental, anatomical and wider clinical history, I found several areas of possible overlap that I could not interpret reliably myself. I therefore became concerned that this might not be a typical situation in which a standard self-managed HRT approach should simply be followed.</w:t>
      </w:r>
    </w:p>
    <w:p>
      <w:r>
        <w:t xml:space="preserve"/>
      </w:r>
    </w:p>
    <w:p>
      <w:r>
        <w:t xml:space="preserve">I have access to </w:t>
      </w:r>
      <w:r>
        <w:rPr>
          <w:b/>
        </w:rPr>
        <w:t xml:space="preserve">estradiol / Estrofem and Androcur</w:t>
      </w:r>
      <w:r>
        <w:t xml:space="preserve">, but I have </w:t>
      </w:r>
      <w:r>
        <w:rPr>
          <w:b/>
        </w:rPr>
        <w:t xml:space="preserve">never started or used any of these medicines</w:t>
      </w:r>
      <w:r>
        <w:t xml:space="preserve">. I chose </w:t>
      </w:r>
      <w:r>
        <w:rPr>
          <w:b/>
        </w:rPr>
        <w:t xml:space="preserve">not to start HRT before appropriate clinical assessment</w:t>
      </w:r>
      <w:r>
        <w:t xml:space="preserve">.</w:t>
      </w:r>
    </w:p>
    <w:p>
      <w:r>
        <w:t xml:space="preserve"/>
      </w:r>
    </w:p>
    <w:p>
      <w:r>
        <w:t xml:space="preserve">I am not asking the GP to prescribe, continue or endorse DIY HRT. This history is included so that the GP and specialist are aware that no exogenous HRT has been started and can interpret any baseline clinical or endocrine assessment accordingly.</w:t>
      </w:r>
    </w:p>
    <w:p>
      <w:r>
        <w:t xml:space="preserve"/>
      </w:r>
    </w:p>
    <w:p>
      <w:pPr>
        <w:spacing w:before="120" w:after="80"/>
      </w:pPr>
      <w:bookmarkStart w:id="8" w:name="section_4_wider_clinical_context_and_tim"/>
      <w:r>
        <w:rPr>
          <w:b/>
          <w:sz w:val="32"/>
          <w:szCs w:val="32"/>
        </w:rPr>
        <w:t xml:space="preserve">4. Wider clinical context and timing overlaps</w:t>
      </w:r>
      <w:bookmarkEnd w:id="8"/>
    </w:p>
    <w:p>
      <w:r>
        <w:t xml:space="preserve"/>
      </w:r>
    </w:p>
    <w:p>
      <w:r>
        <w:t xml:space="preserve">Several different health problems have required assessment over a relatively short period during 2026.</w:t>
      </w:r>
    </w:p>
    <w:p>
      <w:r>
        <w:t xml:space="preserve"/>
      </w:r>
    </w:p>
    <w:p>
      <w:r>
        <w:t xml:space="preserve">When reviewing the overall chronology, I noticed that some symptom groups became active or changed within overlapping time periods. I cannot determine whether these timing overlaps are clinically meaningful, coincidental, medication-related, or unrelated.</w:t>
      </w:r>
    </w:p>
    <w:p>
      <w:r>
        <w:t xml:space="preserve"/>
      </w:r>
    </w:p>
    <w:p>
      <w:r>
        <w:t xml:space="preserve">I have therefore brought the available records together so that the GP can judge whether any of these observations provide useful clinical clues or are worth forwarding to an adult DSD / endocrine specialist.</w:t>
      </w:r>
    </w:p>
    <w:p>
      <w:r>
        <w:t xml:space="preserve"/>
      </w:r>
    </w:p>
    <w:p>
      <w:r>
        <w:t xml:space="preserve">I understand that the musculoskeletal, upper-limb, skin, systemic and DSD-related concerns may ultimately be unrelated. I am not presenting the timing overlaps as evidence of a common cause.</w:t>
      </w:r>
    </w:p>
    <w:p>
      <w:r>
        <w:t xml:space="preserve"/>
      </w:r>
    </w:p>
    <w:p>
      <w:pPr>
        <w:spacing w:before="120" w:after="80"/>
      </w:pPr>
      <w:bookmarkStart w:id="9" w:name="section_5_referral_destination"/>
      <w:r>
        <w:rPr>
          <w:b/>
          <w:sz w:val="32"/>
          <w:szCs w:val="32"/>
        </w:rPr>
        <w:t xml:space="preserve">5. Referral destination</w:t>
      </w:r>
      <w:bookmarkEnd w:id="9"/>
    </w:p>
    <w:p>
      <w:r>
        <w:t xml:space="preserve"/>
      </w:r>
    </w:p>
    <w:p>
      <w:r>
        <w:t xml:space="preserve">Public information shows adult DSD specialist services at </w:t>
      </w:r>
      <w:r>
        <w:rPr>
          <w:b/>
        </w:rPr>
        <w:t xml:space="preserve">Cambridge University Hospitals NHS Foundation Trust (CUH) / Addenbrooke’s</w:t>
      </w:r>
      <w:r>
        <w:t xml:space="preserve"> and </w:t>
      </w:r>
      <w:r>
        <w:rPr>
          <w:b/>
        </w:rPr>
        <w:t xml:space="preserve">University College London Hospitals NHS Foundation Trust (UCLH)</w:t>
      </w:r>
      <w:r>
        <w:t xml:space="preserve">.</w:t>
      </w:r>
    </w:p>
    <w:p>
      <w:r>
        <w:t xml:space="preserve"/>
      </w:r>
    </w:p>
    <w:p>
      <w:r>
        <w:t xml:space="preserve">I am open to the GP using the appropriate NHS referral pathway, service criteria, Advice and Guidance, or specialist advice to determine the most suitable destination.</w:t>
      </w:r>
    </w:p>
    <w:p>
      <w:r>
        <w:t xml:space="preserve"/>
      </w:r>
    </w:p>
    <w:p>
      <w:pPr>
        <w:spacing w:before="120" w:after="80"/>
      </w:pPr>
      <w:bookmarkStart w:id="10" w:name="questions_requests"/>
      <w:r>
        <w:rPr>
          <w:b/>
          <w:sz w:val="36"/>
          <w:szCs w:val="36"/>
        </w:rPr>
        <w:t xml:space="preserve">Questions / Requests</w:t>
      </w:r>
      <w:bookmarkEnd w:id="10"/>
    </w:p>
    <w:p>
      <w:r>
        <w:t xml:space="preserve"/>
      </w:r>
    </w:p>
    <w:p>
      <w:pPr>
        <w:ind w:left="360" w:hanging="180"/>
        <w:spacing w:after="40"/>
      </w:pPr>
      <w:r>
        <w:t xml:space="preserve">1. </w:t>
      </w:r>
      <w:r>
        <w:t xml:space="preserve">Thank you for agreeing to referral to an appropriate </w:t>
      </w:r>
      <w:r>
        <w:rPr>
          <w:b/>
        </w:rPr>
        <w:t xml:space="preserve">adult DSD specialist service</w:t>
      </w:r>
      <w:r>
        <w:t xml:space="preserve">.</w:t>
      </w:r>
    </w:p>
    <w:p>
      <w:pPr>
        <w:ind w:left="360" w:hanging="180"/>
        <w:spacing w:after="40"/>
      </w:pPr>
      <w:r>
        <w:t xml:space="preserve">2. </w:t>
      </w:r>
      <w:r>
        <w:t xml:space="preserve">I am open to </w:t>
      </w:r>
      <w:r>
        <w:rPr>
          <w:b/>
        </w:rPr>
        <w:t xml:space="preserve">Cambridge University Hospitals NHS Foundation Trust (CUH) / Addenbrooke’s, University College London Hospitals NHS Foundation Trust (UCLH), or another appropriate specialist centre</w:t>
      </w:r>
      <w:r>
        <w:t xml:space="preserve"> according to the NHS referral pathway and clinical suitability.</w:t>
      </w:r>
    </w:p>
    <w:p>
      <w:pPr>
        <w:ind w:left="360" w:hanging="180"/>
        <w:spacing w:after="40"/>
      </w:pPr>
      <w:r>
        <w:t xml:space="preserve">3. </w:t>
      </w:r>
      <w:r>
        <w:t xml:space="preserve">A </w:t>
      </w:r>
      <w:r>
        <w:rPr>
          <w:b/>
        </w:rPr>
        <w:t xml:space="preserve">Detailed DSD Clinical Background and Feature Cross-Reference</w:t>
      </w:r>
      <w:r>
        <w:t xml:space="preserve"> is available as supporting information and may be included with the referral if clinically useful.</w:t>
      </w:r>
    </w:p>
    <w:p>
      <w:pPr>
        <w:ind w:left="360" w:hanging="180"/>
        <w:spacing w:after="40"/>
      </w:pPr>
      <w:r>
        <w:t xml:space="preserve">4. </w:t>
      </w:r>
      <w:r>
        <w:t xml:space="preserve">I am happy to undergo any examination, blood test, imaging or genetic investigation that clinicians consider clinically appropriate.</w:t>
      </w:r>
    </w:p>
    <w:p>
      <w:pPr>
        <w:ind w:left="360" w:hanging="180"/>
        <w:spacing w:after="40"/>
      </w:pPr>
      <w:r>
        <w:t xml:space="preserve">5. </w:t>
      </w:r>
      <w:r>
        <w:t xml:space="preserve">I am not requesting a particular diagnosis, genomic test or treatment, and I am comfortable if clinicians consider some investigations unnecessary.</w:t>
      </w:r>
    </w:p>
    <w:p>
      <w:pPr>
        <w:ind w:left="360" w:hanging="180"/>
        <w:spacing w:after="40"/>
      </w:pPr>
      <w:r>
        <w:t xml:space="preserve">6. </w:t>
      </w:r>
      <w:r>
        <w:t xml:space="preserve">If clinically significant pain or other symptoms require ordinary symptomatic treatment while the broader assessment is ongoing, I would appreciate appropriate treatment in the usual way.</w:t>
      </w:r>
    </w:p>
    <w:p>
      <w:r>
        <w:t xml:space="preserve"/>
      </w:r>
    </w:p>
    <w:p>
      <w:pPr>
        <w:spacing w:before="120" w:after="80"/>
      </w:pPr>
      <w:bookmarkStart w:id="11" w:name="notes"/>
      <w:r>
        <w:rPr>
          <w:b/>
          <w:sz w:val="36"/>
          <w:szCs w:val="36"/>
        </w:rPr>
        <w:t xml:space="preserve">Notes</w:t>
      </w:r>
      <w:bookmarkEnd w:id="11"/>
    </w:p>
    <w:p>
      <w:r>
        <w:t xml:space="preserve"/>
      </w:r>
    </w:p>
    <w:p>
      <w:r>
        <w:t xml:space="preserve">Primary supporting documents:</w:t>
      </w:r>
    </w:p>
    <w:p>
      <w:r>
        <w:t xml:space="preserve"/>
      </w:r>
    </w:p>
    <w:p>
      <w:pPr>
        <w:ind w:left="360" w:hanging="180"/>
        <w:spacing w:after="40"/>
      </w:pPr>
      <w:r>
        <w:t xml:space="preserve">• </w:t>
      </w:r>
      <w:r>
        <w:rPr>
          <w:b/>
        </w:rPr>
        <w:t xml:space="preserve">Detailed DSD Clinical Background and Feature Cross-Reference</w:t>
      </w:r>
      <w:r>
        <w:t xml:space="preserve"> — detailed patient-prepared DSD-related supporting record.</w:t>
      </w:r>
    </w:p>
    <w:p>
      <w:pPr>
        <w:ind w:left="360" w:hanging="180"/>
        <w:spacing w:after="40"/>
      </w:pPr>
      <w:r>
        <w:t xml:space="preserve">• </w:t>
      </w:r>
      <w:r>
        <w:rPr>
          <w:b/>
        </w:rPr>
        <w:t xml:space="preserve">NHS DSD Reference Source Pool — Optional Background</w:t>
      </w:r>
      <w:r>
        <w:t xml:space="preserve"> — NHS / NHS England source library used when organising the DSD material.</w:t>
      </w:r>
    </w:p>
    <w:p>
      <w:pPr>
        <w:ind w:left="360" w:hanging="180"/>
        <w:spacing w:after="40"/>
      </w:pPr>
      <w:r>
        <w:t xml:space="preserve">• </w:t>
      </w:r>
      <w:r>
        <w:rPr>
          <w:b/>
        </w:rPr>
        <w:t xml:space="preserve">Long-Term Health Summary</w:t>
      </w:r>
      <w:r>
        <w:t xml:space="preserve"> — overall chronology and timing overlaps.</w:t>
      </w:r>
    </w:p>
    <w:p>
      <w:pPr>
        <w:ind w:left="360" w:hanging="180"/>
        <w:spacing w:after="40"/>
      </w:pPr>
      <w:r>
        <w:t xml:space="preserve">• </w:t>
      </w:r>
      <w:r>
        <w:rPr>
          <w:b/>
        </w:rPr>
        <w:t xml:space="preserve">Knee and Lower-Limb History</w:t>
      </w:r>
      <w:r>
        <w:t xml:space="preserve"> and other topic-specific records where clinically relevant.</w:t>
      </w:r>
    </w:p>
    <w:p>
      <w:r>
        <w:t xml:space="preserve"/>
      </w:r>
    </w:p>
    <w:p>
      <w:r>
        <w:t xml:space="preserve">Plain-text versions of the supporting documents are available at:</w:t>
      </w:r>
    </w:p>
    <w:p>
      <w:r>
        <w:t xml:space="preserve"/>
      </w:r>
    </w:p>
    <w:p>
      <w:hyperlink r:id="rId1">
        <w:r>
          <w:rPr>
            <w:b/>
          </w:rPr>
          <w:t xml:space="preserve">https://gp123.pages.dev/</w:t>
        </w:r>
      </w:hyperlink>
    </w:p>
    <w:p>
      <w:r>
        <w:t xml:space="preserve"/>
      </w:r>
    </w:p>
    <w:p>
      <w:r>
        <w:t xml:space="preserve">The website contains patient-prepared plain-text documents only. Original NHS records, clinical examinations, laboratory results, imaging, prescription information and other medical records remain the primary supporting evidence where applicable.</w:t>
      </w:r>
    </w:p>
    <w:p>
      <w:r>
        <w:t xml:space="preserve"/>
      </w:r>
    </w:p>
    <w:p>
      <w:r>
        <w:t xml:space="preserve">Please feel free to </w:t>
      </w:r>
      <w:r>
        <w:rPr>
          <w:b/>
        </w:rPr>
        <w:t xml:space="preserve">correct, amend, shorten, reword or replace any part of this letter or the accompanying patient-prepared material</w:t>
      </w:r>
      <w:r>
        <w:t xml:space="preserve"> where you consider a different clinical description to be more accurate or useful for referral.</w:t>
      </w:r>
    </w:p>
    <w:p>
      <w:r>
        <w:t xml:space="preserve"/>
      </w:r>
    </w:p>
    <w:p>
      <w:r>
        <w:t xml:space="preserve">I welcome correction of any factual, anatomical or clinical interpretation that I may have misunderstood.</w:t>
      </w:r>
    </w:p>
    <w:p>
      <w:r>
        <w:t xml:space="preserve"/>
      </w:r>
    </w:p>
    <w:p>
      <w:r>
        <w:t xml:space="preserve">Please feel free to copy or adapt any relevant information for clinical documentation or referral writing.</w:t>
      </w:r>
    </w:p>
    <w:p>
      <w:r>
        <w:t xml:space="preserve"/>
      </w:r>
    </w:p>
    <w:p>
      <w:r>
        <w:t xml:space="preserve">As I am not a healthcare professional, please verify any clinical information before relying on it.</w:t>
      </w:r>
    </w:p>
    <w:p>
      <w:r>
        <w:t xml:space="preserve"/>
      </w:r>
    </w:p>
    <w:p>
      <w:r>
        <w:t xml:space="preserve">Thank you for reviewing this supporting information.</w:t>
      </w:r>
    </w:p>
    <w:p>
      <w:r>
        <w:t xml:space="preserve"/>
      </w:r>
    </w:p>
    <w:sectPr>
      <w:pgSz w:w="12240" w:h="15840"/>
      <w:pgMar w:top="1440" w:right="1440" w:bottom="1440" w:left="1440"/>
    </w:sectPr>
  </w:body>
</w:document>
</file>

<file path=word/_rels/document.xml.rels><?xml version="1.0" encoding="UTF-8" standalone="yes"?>
<Relationships
  xmlns="http://schemas.openxmlformats.org/package/2006/relationships"
>

  <Relationship
    Id="rId1"
    Type="http://schemas.openxmlformats.org/officeDocument/2006/relationships/hyperlink"
    Target="https://gp123.pages.dev/"
    TargetMode="External"
  />
</Relationships>
</file>