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
  <Relationship
    Id="rId1"
    Type="http://schemas.openxmlformats.org/officeDocument/2006/relationships/officeDocument"
    Target="word/document.xml"
  />
</Relationships>
</file>

<file path=word/document.xml><?xml version="1.0" encoding="utf-8"?>
<w:document xmlns:w="http://schemas.openxmlformats.org/wordprocessingml/2006/main" xmlns:r="http://schemas.openxmlformats.org/officeDocument/2006/relationships">
  <w:body>
    <w:p>
      <w:pPr>
        <w:spacing w:before="120" w:after="80"/>
      </w:pPr>
      <w:bookmarkStart w:id="1" w:name="lift_movement_and_pain_synchronisation_r"/>
      <w:r>
        <w:rPr>
          <w:b/>
          <w:sz w:val="40"/>
          <w:szCs w:val="40"/>
        </w:rPr>
        <w:t xml:space="preserve">Lift Movement and Pain Synchronisation Record</w:t>
      </w:r>
      <w:bookmarkEnd w:id="1"/>
    </w:p>
    <w:p>
      <w:r>
        <w:t xml:space="preserve"/>
      </w:r>
    </w:p>
    <w:p>
      <w:r>
        <w:t xml:space="preserve">Date: Tuesday 15 September 2026</w:t>
      </w:r>
    </w:p>
    <w:p>
      <w:r>
        <w:t xml:space="preserve"/>
      </w:r>
    </w:p>
    <w:p>
      <w:r>
        <w:t xml:space="preserve">Last Updated: Monday 13 July 2026</w:t>
      </w:r>
    </w:p>
    <w:p>
      <w:r>
        <w:t xml:space="preserve"/>
      </w:r>
    </w:p>
    <w:p>
      <w:r>
        <w:t xml:space="preserve">Type: Letter</w:t>
      </w:r>
    </w:p>
    <w:p>
      <w:r>
        <w:t xml:space="preserve"/>
      </w:r>
    </w:p>
    <w:p>
      <w:pPr>
        <w:spacing w:before="120" w:after="80"/>
      </w:pPr>
      <w:bookmarkStart w:id="2" w:name="summary"/>
      <w:r>
        <w:rPr>
          <w:b/>
          <w:sz w:val="36"/>
          <w:szCs w:val="36"/>
        </w:rPr>
        <w:t xml:space="preserve">Summary</w:t>
      </w:r>
      <w:bookmarkEnd w:id="2"/>
    </w:p>
    <w:p>
      <w:r>
        <w:t xml:space="preserve"/>
      </w:r>
    </w:p>
    <w:p>
      <w:r>
        <w:t xml:space="preserve">This document records an unusual observation made during an episode of acute low-back pain in </w:t>
      </w:r>
      <w:r>
        <w:rPr>
          <w:b/>
        </w:rPr>
        <w:t xml:space="preserve">February 2026</w:t>
      </w:r>
      <w:r>
        <w:t xml:space="preserve">.</w:t>
      </w:r>
    </w:p>
    <w:p>
      <w:r>
        <w:t xml:space="preserve"/>
      </w:r>
    </w:p>
    <w:p>
      <w:r>
        <w:t xml:space="preserve">During attendance at an Urgent Treatment Centre (UTC), the patient perceived that changes in low-back-pain intensity appeared to be synchronised with the movement pattern of a hospital lift.</w:t>
      </w:r>
    </w:p>
    <w:p>
      <w:r>
        <w:t xml:space="preserve"/>
      </w:r>
    </w:p>
    <w:p>
      <w:r>
        <w:t xml:space="preserve">This document preserves the observation as accurately as possible for future clinical reference. It does not propose a diagnosis or physiological mechanism.</w:t>
      </w:r>
    </w:p>
    <w:p>
      <w:r>
        <w:t xml:space="preserve"/>
      </w:r>
    </w:p>
    <w:p>
      <w:pPr>
        <w:spacing w:before="120" w:after="80"/>
      </w:pPr>
      <w:bookmarkStart w:id="3" w:name="background"/>
      <w:r>
        <w:rPr>
          <w:b/>
          <w:sz w:val="36"/>
          <w:szCs w:val="36"/>
        </w:rPr>
        <w:t xml:space="preserve">Background</w:t>
      </w:r>
      <w:bookmarkEnd w:id="3"/>
    </w:p>
    <w:p>
      <w:r>
        <w:t xml:space="preserve"/>
      </w:r>
    </w:p>
    <w:p>
      <w:pPr>
        <w:spacing w:before="120" w:after="80"/>
      </w:pPr>
      <w:bookmarkStart w:id="4" w:name="purpose_and_relationship_to_the_long_ter"/>
      <w:r>
        <w:rPr>
          <w:b/>
          <w:sz w:val="32"/>
          <w:szCs w:val="32"/>
        </w:rPr>
        <w:t xml:space="preserve">Purpose and relationship to the long-term health timeline</w:t>
      </w:r>
      <w:bookmarkEnd w:id="4"/>
    </w:p>
    <w:p>
      <w:r>
        <w:t xml:space="preserve"/>
      </w:r>
    </w:p>
    <w:p>
      <w:r>
        <w:t xml:space="preserve">This record describes an acute episode that occurred while the patient was already experiencing an ongoing right lower-limb / knee problem.</w:t>
      </w:r>
    </w:p>
    <w:p>
      <w:r>
        <w:t xml:space="preserve"/>
      </w:r>
    </w:p>
    <w:p>
      <w:r>
        <w:t xml:space="preserve">It is separate from the long-term health timeline because it documents an unusual patient-reported observation made during the acute low-back-pain episode and MIU/UTC attendance.</w:t>
      </w:r>
    </w:p>
    <w:p>
      <w:r>
        <w:t xml:space="preserve"/>
      </w:r>
    </w:p>
    <w:p>
      <w:r>
        <w:t xml:space="preserve">The patient later asked the GP whether osteopathic treatment would be appropriate for the pre-existing right lower-limb problem. According to the patient's recollection, the GP advised against seeking osteopathic treatment at that time and considered that the acute low-back pain and the pre-existing right lower-limb problem might be related.</w:t>
      </w:r>
    </w:p>
    <w:p>
      <w:r>
        <w:t xml:space="preserve"/>
      </w:r>
    </w:p>
    <w:p>
      <w:r>
        <w:t xml:space="preserve">This record does not state that the hand wound, low-back pain, or right lower-limb symptoms shared the same cause. It is intended to preserve the observation so that future clinicians may decide whether any part is relevant to the wider clinical picture.</w:t>
      </w:r>
    </w:p>
    <w:p>
      <w:r>
        <w:t xml:space="preserve"/>
      </w:r>
    </w:p>
    <w:p>
      <w:pPr>
        <w:spacing w:before="120" w:after="80"/>
      </w:pPr>
      <w:bookmarkStart w:id="5" w:name="relevant_background_before_the_acute_epi"/>
      <w:r>
        <w:rPr>
          <w:b/>
          <w:sz w:val="32"/>
          <w:szCs w:val="32"/>
        </w:rPr>
        <w:t xml:space="preserve">Relevant background before the acute episode</w:t>
      </w:r>
      <w:bookmarkEnd w:id="5"/>
    </w:p>
    <w:p>
      <w:r>
        <w:t xml:space="preserve"/>
      </w:r>
    </w:p>
    <w:p>
      <w:pPr>
        <w:ind w:left="360" w:hanging="180"/>
        <w:spacing w:after="40"/>
      </w:pPr>
      <w:r>
        <w:t xml:space="preserve">• </w:t>
      </w:r>
      <w:r>
        <w:t xml:space="preserve">Since approximately </w:t>
      </w:r>
      <w:r>
        <w:rPr>
          <w:b/>
        </w:rPr>
        <w:t xml:space="preserve">September 2025</w:t>
      </w:r>
      <w:r>
        <w:t xml:space="preserve">, the patient had experienced intermittent right lower-limb / knee symptoms.</w:t>
      </w:r>
    </w:p>
    <w:p>
      <w:pPr>
        <w:ind w:left="360" w:hanging="180"/>
        <w:spacing w:after="40"/>
      </w:pPr>
      <w:r>
        <w:t xml:space="preserve">• </w:t>
      </w:r>
      <w:r>
        <w:t xml:space="preserve">The patient could walk and manage ordinary daily activities, but sometimes felt a need to move cautiously or compensate.</w:t>
      </w:r>
    </w:p>
    <w:p>
      <w:pPr>
        <w:ind w:left="360" w:hanging="180"/>
        <w:spacing w:after="40"/>
      </w:pPr>
      <w:r>
        <w:t xml:space="preserve">• </w:t>
      </w:r>
      <w:r>
        <w:t xml:space="preserve">Earlier symptoms mainly affected stairs, squatting, and kneeling. The long-term health timeline contains the full history.</w:t>
      </w:r>
    </w:p>
    <w:p>
      <w:r>
        <w:t xml:space="preserve"/>
      </w:r>
    </w:p>
    <w:p>
      <w:pPr>
        <w:spacing w:before="120" w:after="80"/>
      </w:pPr>
      <w:bookmarkStart w:id="6" w:name="details"/>
      <w:r>
        <w:rPr>
          <w:b/>
          <w:sz w:val="36"/>
          <w:szCs w:val="36"/>
        </w:rPr>
        <w:t xml:space="preserve">Details</w:t>
      </w:r>
      <w:bookmarkEnd w:id="6"/>
    </w:p>
    <w:p>
      <w:r>
        <w:t xml:space="preserve"/>
      </w:r>
    </w:p>
    <w:p>
      <w:pPr>
        <w:spacing w:before="120" w:after="80"/>
      </w:pPr>
      <w:bookmarkStart w:id="7" w:name="acute_episode_timeline"/>
      <w:r>
        <w:rPr>
          <w:b/>
          <w:sz w:val="32"/>
          <w:szCs w:val="32"/>
        </w:rPr>
        <w:t xml:space="preserve">Acute episode timeline</w:t>
      </w:r>
      <w:bookmarkEnd w:id="7"/>
    </w:p>
    <w:p>
      <w:r>
        <w:t xml:space="preserve"/>
      </w:r>
    </w:p>
    <w:p>
      <w:pPr>
        <w:spacing w:before="120" w:after="80"/>
      </w:pPr>
      <w:bookmarkStart w:id="8" w:name="sunday_22_february_2026_onset_of_low_bac"/>
      <w:r>
        <w:rPr>
          <w:b/>
          <w:sz w:val="28"/>
          <w:szCs w:val="28"/>
        </w:rPr>
        <w:t xml:space="preserve">Sunday 22 February 2026 — onset of low-back pain</w:t>
      </w:r>
      <w:bookmarkEnd w:id="8"/>
    </w:p>
    <w:p>
      <w:r>
        <w:t xml:space="preserve"/>
      </w:r>
    </w:p>
    <w:p>
      <w:pPr>
        <w:ind w:left="360" w:hanging="180"/>
        <w:spacing w:after="40"/>
      </w:pPr>
      <w:r>
        <w:t xml:space="preserve">• </w:t>
      </w:r>
      <w:r>
        <w:t xml:space="preserve">During the evening, the patient developed acute low-back pain.</w:t>
      </w:r>
    </w:p>
    <w:p>
      <w:pPr>
        <w:ind w:left="360" w:hanging="180"/>
        <w:spacing w:after="40"/>
      </w:pPr>
      <w:r>
        <w:t xml:space="preserve">• </w:t>
      </w:r>
      <w:r>
        <w:t xml:space="preserve">The pain affected sleep that night.</w:t>
      </w:r>
    </w:p>
    <w:p>
      <w:pPr>
        <w:ind w:left="360" w:hanging="180"/>
        <w:spacing w:after="40"/>
      </w:pPr>
      <w:r>
        <w:t xml:space="preserve">• </w:t>
      </w:r>
      <w:r>
        <w:t xml:space="preserve">At the same time, there was an existing wound or skin lesion on the dorsum (back) of the hand. It had been present for some time and had not become smaller or fully healed, although it had previously been manageable.</w:t>
      </w:r>
    </w:p>
    <w:p>
      <w:r>
        <w:t xml:space="preserve"/>
      </w:r>
    </w:p>
    <w:p>
      <w:pPr>
        <w:spacing w:before="120" w:after="80"/>
      </w:pPr>
      <w:bookmarkStart w:id="9" w:name="monday_23_february_2026_miu_and_utc_atte"/>
      <w:r>
        <w:rPr>
          <w:b/>
          <w:sz w:val="28"/>
          <w:szCs w:val="28"/>
        </w:rPr>
        <w:t xml:space="preserve">Monday 23 February 2026 — MIU and UTC attendance</w:t>
      </w:r>
      <w:bookmarkEnd w:id="9"/>
    </w:p>
    <w:p>
      <w:r>
        <w:t xml:space="preserve"/>
      </w:r>
    </w:p>
    <w:p>
      <w:pPr>
        <w:ind w:left="360" w:hanging="180"/>
        <w:spacing w:after="40"/>
      </w:pPr>
      <w:r>
        <w:t xml:space="preserve">• </w:t>
      </w:r>
      <w:r>
        <w:t xml:space="preserve">In the early morning, the patient researched available urgent services.</w:t>
      </w:r>
    </w:p>
    <w:p>
      <w:pPr>
        <w:ind w:left="360" w:hanging="180"/>
        <w:spacing w:after="40"/>
      </w:pPr>
      <w:r>
        <w:t xml:space="preserve">• </w:t>
      </w:r>
      <w:r>
        <w:t xml:space="preserve">The patient first attended a Minor Injuries Unit (MIU). According to the patient’s recollection, the MIU did not offer treatment for the presenting problem and advised obtaining an over-the-counter topical product from a pharmacy.</w:t>
      </w:r>
    </w:p>
    <w:p>
      <w:pPr>
        <w:ind w:left="360" w:hanging="180"/>
        <w:spacing w:after="40"/>
      </w:pPr>
      <w:r>
        <w:t xml:space="preserve">• </w:t>
      </w:r>
      <w:r>
        <w:t xml:space="preserve">Because this did not appear sufficient for the hand wound and the patient was also experiencing acute low-back pain, the patient then attended an Urgent Treatment Centre (UTC).</w:t>
      </w:r>
    </w:p>
    <w:p>
      <w:pPr>
        <w:ind w:left="360" w:hanging="180"/>
        <w:spacing w:after="40"/>
      </w:pPr>
      <w:r>
        <w:t xml:space="preserve">• </w:t>
      </w:r>
      <w:r>
        <w:t xml:space="preserve">UTC prescription labels were dated </w:t>
      </w:r>
      <w:r>
        <w:rPr>
          <w:b/>
        </w:rPr>
        <w:t xml:space="preserve">Monday 23 February 2026</w:t>
      </w:r>
      <w:r>
        <w:t xml:space="preserve">:</w:t>
      </w:r>
    </w:p>
    <w:p>
      <w:pPr>
        <w:ind w:left="720" w:hanging="180"/>
        <w:spacing w:after="40"/>
      </w:pPr>
      <w:r>
        <w:t xml:space="preserve">• </w:t>
      </w:r>
      <w:r>
        <w:rPr>
          <w:b/>
        </w:rPr>
        <w:t xml:space="preserve">Flucloxacillin 500 mg:</w:t>
      </w:r>
      <w:r>
        <w:t xml:space="preserve"> 28 capsules supplied; label instructions: take one capsule four times daily.</w:t>
      </w:r>
    </w:p>
    <w:p>
      <w:pPr>
        <w:ind w:left="720" w:hanging="180"/>
        <w:spacing w:after="40"/>
      </w:pPr>
      <w:r>
        <w:t xml:space="preserve">• </w:t>
      </w:r>
      <w:r>
        <w:rPr>
          <w:b/>
        </w:rPr>
        <w:t xml:space="preserve">Naproxen 500 mg:</w:t>
      </w:r>
      <w:r>
        <w:t xml:space="preserve"> 28 tablets supplied; label instructions: take one tablet twice daily.</w:t>
      </w:r>
    </w:p>
    <w:p>
      <w:pPr>
        <w:ind w:left="720" w:hanging="180"/>
        <w:spacing w:after="40"/>
      </w:pPr>
      <w:r>
        <w:t xml:space="preserve">• </w:t>
      </w:r>
      <w:r>
        <w:rPr>
          <w:b/>
        </w:rPr>
        <w:t xml:space="preserve">Omeprazole 20 mg:</w:t>
      </w:r>
      <w:r>
        <w:t xml:space="preserve"> 28 capsules supplied; label instructions: take one capsule once daily.</w:t>
      </w:r>
    </w:p>
    <w:p>
      <w:r>
        <w:t xml:space="preserve"/>
      </w:r>
    </w:p>
    <w:p>
      <w:pPr>
        <w:spacing w:before="120" w:after="80"/>
      </w:pPr>
      <w:bookmarkStart w:id="10" w:name="friday_27_february_2026_pre_booked_gp_ap"/>
      <w:r>
        <w:rPr>
          <w:b/>
          <w:sz w:val="28"/>
          <w:szCs w:val="28"/>
        </w:rPr>
        <w:t xml:space="preserve">Friday 27 February 2026 — pre-booked GP appointment used for follow-up</w:t>
      </w:r>
      <w:bookmarkEnd w:id="10"/>
    </w:p>
    <w:p>
      <w:r>
        <w:t xml:space="preserve"/>
      </w:r>
    </w:p>
    <w:p>
      <w:pPr>
        <w:ind w:left="360" w:hanging="180"/>
        <w:spacing w:after="40"/>
      </w:pPr>
      <w:r>
        <w:t xml:space="preserve">• </w:t>
      </w:r>
      <w:r>
        <w:t xml:space="preserve">The patient had already booked this GP appointment before the acute episode.</w:t>
      </w:r>
    </w:p>
    <w:p>
      <w:pPr>
        <w:ind w:left="360" w:hanging="180"/>
        <w:spacing w:after="40"/>
      </w:pPr>
      <w:r>
        <w:t xml:space="preserve">• </w:t>
      </w:r>
      <w:r>
        <w:t xml:space="preserve">Because the hand wound still required review, the consultation focused mainly on the wound and antibiotic treatment.</w:t>
      </w:r>
    </w:p>
    <w:p>
      <w:pPr>
        <w:ind w:left="360" w:hanging="180"/>
        <w:spacing w:after="40"/>
      </w:pPr>
      <w:r>
        <w:t xml:space="preserve">• </w:t>
      </w:r>
      <w:r>
        <w:t xml:space="preserve">Based on the condition of the hand and the remaining capsules, the patient raised concern that the original antibiotic supply might not be sufficient.</w:t>
      </w:r>
    </w:p>
    <w:p>
      <w:pPr>
        <w:ind w:left="360" w:hanging="180"/>
        <w:spacing w:after="40"/>
      </w:pPr>
      <w:r>
        <w:t xml:space="preserve">• </w:t>
      </w:r>
      <w:r>
        <w:t xml:space="preserve">The GP supplied:</w:t>
      </w:r>
    </w:p>
    <w:p>
      <w:pPr>
        <w:ind w:left="720" w:hanging="180"/>
        <w:spacing w:after="40"/>
      </w:pPr>
      <w:r>
        <w:t xml:space="preserve">• </w:t>
      </w:r>
      <w:r>
        <w:rPr>
          <w:b/>
        </w:rPr>
        <w:t xml:space="preserve">56 additional flucloxacillin 500 mg capsules</w:t>
      </w:r>
      <w:r>
        <w:t xml:space="preserve">;</w:t>
      </w:r>
    </w:p>
    <w:p>
      <w:pPr>
        <w:ind w:left="720" w:hanging="180"/>
        <w:spacing w:after="40"/>
      </w:pPr>
      <w:r>
        <w:t xml:space="preserve">• </w:t>
      </w:r>
      <w:r>
        <w:t xml:space="preserve">two packs containing 28 capsules each;</w:t>
      </w:r>
    </w:p>
    <w:p>
      <w:pPr>
        <w:ind w:left="720" w:hanging="180"/>
        <w:spacing w:after="40"/>
      </w:pPr>
      <w:r>
        <w:t xml:space="preserve">• </w:t>
      </w:r>
      <w:r>
        <w:t xml:space="preserve">label instructions to </w:t>
      </w:r>
      <w:r>
        <w:rPr>
          <w:b/>
        </w:rPr>
        <w:t xml:space="preserve">take two capsules four times daily for seven days</w:t>
      </w:r>
      <w:r>
        <w:t xml:space="preserve">.</w:t>
      </w:r>
    </w:p>
    <w:p>
      <w:pPr>
        <w:ind w:left="360" w:hanging="180"/>
        <w:spacing w:after="40"/>
      </w:pPr>
      <w:r>
        <w:t xml:space="preserve">• </w:t>
      </w:r>
      <w:r>
        <w:t xml:space="preserve">Together with the original 28 capsules supplied on 23 February, the total flucloxacillin supply was </w:t>
      </w:r>
      <w:r>
        <w:rPr>
          <w:b/>
        </w:rPr>
        <w:t xml:space="preserve">84 capsules</w:t>
      </w:r>
      <w:r>
        <w:t xml:space="preserve">.</w:t>
      </w:r>
    </w:p>
    <w:p>
      <w:r>
        <w:t xml:space="preserve"/>
      </w:r>
    </w:p>
    <w:p>
      <w:pPr>
        <w:spacing w:before="120" w:after="80"/>
      </w:pPr>
      <w:bookmarkStart w:id="11" w:name="wednesday_4_march_2026_gp_follow_up_and_"/>
      <w:r>
        <w:rPr>
          <w:b/>
          <w:sz w:val="28"/>
          <w:szCs w:val="28"/>
        </w:rPr>
        <w:t xml:space="preserve">Wednesday 4 March 2026 — GP follow-up and discussion of right lower-limb symptoms</w:t>
      </w:r>
      <w:bookmarkEnd w:id="11"/>
    </w:p>
    <w:p>
      <w:r>
        <w:t xml:space="preserve"/>
      </w:r>
    </w:p>
    <w:p>
      <w:pPr>
        <w:ind w:left="360" w:hanging="180"/>
        <w:spacing w:after="40"/>
      </w:pPr>
      <w:r>
        <w:t xml:space="preserve">• </w:t>
      </w:r>
      <w:r>
        <w:t xml:space="preserve">During the GP follow-up on </w:t>
      </w:r>
      <w:r>
        <w:rPr>
          <w:b/>
        </w:rPr>
        <w:t xml:space="preserve">4 March 2026</w:t>
      </w:r>
      <w:r>
        <w:t xml:space="preserve">, the right-hand wound had fully closed.</w:t>
      </w:r>
    </w:p>
    <w:p>
      <w:pPr>
        <w:ind w:left="360" w:hanging="180"/>
        <w:spacing w:after="40"/>
      </w:pPr>
      <w:r>
        <w:t xml:space="preserve">• </w:t>
      </w:r>
      <w:r>
        <w:t xml:space="preserve">The skin had not yet returned to a normal appearance:</w:t>
      </w:r>
    </w:p>
    <w:p>
      <w:pPr>
        <w:ind w:left="720" w:hanging="180"/>
        <w:spacing w:after="40"/>
      </w:pPr>
      <w:r>
        <w:t xml:space="preserve">• </w:t>
      </w:r>
      <w:r>
        <w:t xml:space="preserve">residual marks remained;</w:t>
      </w:r>
    </w:p>
    <w:p>
      <w:pPr>
        <w:ind w:left="720" w:hanging="180"/>
        <w:spacing w:after="40"/>
      </w:pPr>
      <w:r>
        <w:t xml:space="preserve">• </w:t>
      </w:r>
      <w:r>
        <w:t xml:space="preserve">the surface appeared uneven or layered;</w:t>
      </w:r>
    </w:p>
    <w:p>
      <w:pPr>
        <w:ind w:left="720" w:hanging="180"/>
        <w:spacing w:after="40"/>
      </w:pPr>
      <w:r>
        <w:t xml:space="preserve">• </w:t>
      </w:r>
      <w:r>
        <w:t xml:space="preserve">small indentations and spots were still visible.</w:t>
      </w:r>
    </w:p>
    <w:p>
      <w:pPr>
        <w:ind w:left="360" w:hanging="180"/>
        <w:spacing w:after="40"/>
      </w:pPr>
      <w:r>
        <w:t xml:space="preserve">• </w:t>
      </w:r>
      <w:r>
        <w:rPr>
          <w:b/>
        </w:rPr>
        <w:t xml:space="preserve">Elocon 0.1% w/w ointment</w:t>
      </w:r>
      <w:r>
        <w:t xml:space="preserve"> was prescribed for the recovering skin condition.</w:t>
      </w:r>
    </w:p>
    <w:p>
      <w:pPr>
        <w:ind w:left="360" w:hanging="180"/>
        <w:spacing w:after="40"/>
      </w:pPr>
      <w:r>
        <w:t xml:space="preserve">• </w:t>
      </w:r>
      <w:r>
        <w:t xml:space="preserve">The patient asked whether it would be appropriate to seek osteopathic treatment for the pre-existing right lower-limb problem.</w:t>
      </w:r>
    </w:p>
    <w:p>
      <w:pPr>
        <w:ind w:left="360" w:hanging="180"/>
        <w:spacing w:after="40"/>
      </w:pPr>
      <w:r>
        <w:t xml:space="preserve">• </w:t>
      </w:r>
      <w:r>
        <w:t xml:space="preserve">According to the patient's recollection, the GP advised against seeking osteopathic treatment at that time.</w:t>
      </w:r>
    </w:p>
    <w:p>
      <w:pPr>
        <w:ind w:left="360" w:hanging="180"/>
        <w:spacing w:after="40"/>
      </w:pPr>
      <w:r>
        <w:t xml:space="preserve">• </w:t>
      </w:r>
      <w:r>
        <w:t xml:space="preserve">The patient recalls the GP saying that the acute low-back pain and the pre-existing right lower-limb problem might be related, and advising the patient to continue waiting for MSK assessment.</w:t>
      </w:r>
    </w:p>
    <w:p>
      <w:r>
        <w:t xml:space="preserve"/>
      </w:r>
    </w:p>
    <w:p>
      <w:pPr>
        <w:spacing w:before="120" w:after="80"/>
      </w:pPr>
      <w:bookmarkStart w:id="12" w:name="patient_reported_observation_perceived_1"/>
      <w:r>
        <w:rPr>
          <w:b/>
          <w:sz w:val="32"/>
          <w:szCs w:val="32"/>
        </w:rPr>
        <w:t xml:space="preserve">Patient-reported observation: perceived 100% timing synchrony between lift movement and pain changes</w:t>
      </w:r>
      <w:bookmarkEnd w:id="12"/>
    </w:p>
    <w:p>
      <w:r>
        <w:t xml:space="preserve"/>
      </w:r>
    </w:p>
    <w:p>
      <w:r>
        <w:t xml:space="preserve">During the acute low-back-pain episode on the day of UTC attendance, the patient observed what appeared to be complete timing synchrony between changes in the lift's movement and changes in low-back-pain intensity.</w:t>
      </w:r>
    </w:p>
    <w:p>
      <w:r>
        <w:t xml:space="preserve"/>
      </w:r>
    </w:p>
    <w:p>
      <w:pPr>
        <w:ind w:left="360" w:hanging="180"/>
        <w:spacing w:after="40"/>
      </w:pPr>
      <w:r>
        <w:t xml:space="preserve">• </w:t>
      </w:r>
      <w:r>
        <w:t xml:space="preserve">While the lift was stationary, there was already a persistent, non-zero baseline level of low-back pain.</w:t>
      </w:r>
    </w:p>
    <w:p>
      <w:pPr>
        <w:ind w:left="360" w:hanging="180"/>
        <w:spacing w:after="40"/>
      </w:pPr>
      <w:r>
        <w:t xml:space="preserve">• </w:t>
      </w:r>
      <w:r>
        <w:t xml:space="preserve">When the lift changed from stationary to moving, the pain increased at the same time.</w:t>
      </w:r>
    </w:p>
    <w:p>
      <w:pPr>
        <w:ind w:left="360" w:hanging="180"/>
        <w:spacing w:after="40"/>
      </w:pPr>
      <w:r>
        <w:t xml:space="preserve">• </w:t>
      </w:r>
      <w:r>
        <w:t xml:space="preserve">While the lift remained in sustained motion, the increased pain continued.</w:t>
      </w:r>
    </w:p>
    <w:p>
      <w:pPr>
        <w:ind w:left="360" w:hanging="180"/>
        <w:spacing w:after="40"/>
      </w:pPr>
      <w:r>
        <w:t xml:space="preserve">• </w:t>
      </w:r>
      <w:r>
        <w:t xml:space="preserve">When the lift slowed and stopped, the pain decreased at the same time and returned to the previous baseline level.</w:t>
      </w:r>
    </w:p>
    <w:p>
      <w:pPr>
        <w:ind w:left="360" w:hanging="180"/>
        <w:spacing w:after="40"/>
      </w:pPr>
      <w:r>
        <w:t xml:space="preserve">• </w:t>
      </w:r>
      <w:r>
        <w:t xml:space="preserve">The patient perceived the timing relationship between the lift's movement and the changes in pain as </w:t>
      </w:r>
      <w:r>
        <w:rPr>
          <w:b/>
        </w:rPr>
        <w:t xml:space="preserve">100% synchronised</w:t>
      </w:r>
      <w:r>
        <w:t xml:space="preserve">.</w:t>
      </w:r>
    </w:p>
    <w:p>
      <w:pPr>
        <w:ind w:left="360" w:hanging="180"/>
        <w:spacing w:after="40"/>
      </w:pPr>
      <w:r>
        <w:t xml:space="preserve">• </w:t>
      </w:r>
      <w:r>
        <w:t xml:space="preserve">In other words, each perceived change in the lift's movement was accompanied by a simultaneous change in pain, without any noticeable delay.</w:t>
      </w:r>
    </w:p>
    <w:p>
      <w:pPr>
        <w:ind w:left="360" w:hanging="180"/>
        <w:spacing w:after="40"/>
      </w:pPr>
      <w:r>
        <w:t xml:space="preserve">• </w:t>
      </w:r>
      <w:r>
        <w:t xml:space="preserve">The term </w:t>
      </w:r>
      <w:r>
        <w:rPr>
          <w:b/>
        </w:rPr>
        <w:t xml:space="preserve">100% synchronised</w:t>
      </w:r>
      <w:r>
        <w:t xml:space="preserve"> refers only to the patient's subjective perception of timing synchrony.</w:t>
      </w:r>
    </w:p>
    <w:p>
      <w:pPr>
        <w:ind w:left="360" w:hanging="180"/>
        <w:spacing w:after="40"/>
      </w:pPr>
      <w:r>
        <w:t xml:space="preserve">• </w:t>
      </w:r>
      <w:r>
        <w:t xml:space="preserve">It does not mean that the pain intensity, lift speed, acceleration, force, or any numerical ratio was measured.</w:t>
      </w:r>
    </w:p>
    <w:p>
      <w:r>
        <w:t xml:space="preserve"/>
      </w:r>
    </w:p>
    <w:p>
      <w:r>
        <w:t xml:space="preserve">The diagram below is intentionally schematic. It illustrates the reported timing relationship but does not represent measured pain intensity, lift speed, acceleration, force, or physical movement data.</w:t>
      </w:r>
    </w:p>
    <w:p>
      <w:r>
        <w:t xml:space="preserve"/>
      </w:r>
    </w:p>
    <w:p>
      <w:r>
        <w:t xml:space="preserve">Patient-reported timing relationship between pain and lift movement</w:t>
      </w:r>
      <w:r>
        <w:br/>
      </w:r>
      <w:r>
        <w:t xml:space="preserve">Schematic only: no numerical values or physical measurements were recorded.</w:t>
      </w:r>
      <w:r>
        <w:br/>
      </w:r>
      <w:r>
        <w:t xml:space="preserve"/>
      </w:r>
      <w:r>
        <w:br/>
      </w:r>
      <w:r>
        <w:t xml:space="preserve">Pain level</w:t>
      </w:r>
      <w:r>
        <w:br/>
      </w:r>
      <w:r>
        <w:t xml:space="preserve">  ▲</w:t>
      </w:r>
      <w:r>
        <w:br/>
      </w:r>
      <w:r>
        <w:t xml:space="preserve">  │                  [=============================]</w:t>
      </w:r>
      <w:r>
        <w:br/>
      </w:r>
      <w:r>
        <w:t xml:space="preserve">  │                 /                               \</w:t>
      </w:r>
      <w:r>
        <w:br/>
      </w:r>
      <w:r>
        <w:t xml:space="preserve">  │                /                                 \</w:t>
      </w:r>
      <w:r>
        <w:br/>
      </w:r>
      <w:r>
        <w:t xml:space="preserve">  │               /                                   \</w:t>
      </w:r>
      <w:r>
        <w:br/>
      </w:r>
      <w:r>
        <w:t xml:space="preserve">  │              /                                     \</w:t>
      </w:r>
      <w:r>
        <w:br/>
      </w:r>
      <w:r>
        <w:t xml:space="preserve">  │─────────────▲───────────────────────────────────────└───► Time</w:t>
      </w:r>
      <w:r>
        <w:br/>
      </w:r>
      <w:r>
        <w:t xml:space="preserve">  │       lift changed                              lift slowed</w:t>
      </w:r>
      <w:r>
        <w:br/>
      </w:r>
      <w:r>
        <w:t xml:space="preserve">  │       from stationary                           and stopped</w:t>
      </w:r>
      <w:r>
        <w:br/>
      </w:r>
      <w:r>
        <w:t xml:space="preserve">  │       to moving</w:t>
      </w:r>
      <w:r>
        <w:br/>
      </w:r>
      <w:r>
        <w:t xml:space="preserve">  │</w:t>
      </w:r>
      <w:r>
        <w:br/>
      </w:r>
      <w:r>
        <w:t xml:space="preserve">  └──────────────────────────────────────────────────────────</w:t>
      </w:r>
      <w:r>
        <w:br/>
      </w:r>
      <w:r>
        <w:t xml:space="preserve"/>
      </w:r>
      <w:r>
        <w:br/>
      </w:r>
      <w:r>
        <w:t xml:space="preserve">Lift state:</w:t>
      </w:r>
      <w:r>
        <w:br/>
      </w:r>
      <w:r>
        <w:t xml:space="preserve">stationary -&gt; transition to moving -&gt; sustained movement -&gt; slowing -&gt; stopped</w:t>
      </w:r>
      <w:r>
        <w:br/>
      </w:r>
      <w:r>
        <w:t xml:space="preserve"/>
      </w:r>
      <w:r>
        <w:br/>
      </w:r>
      <w:r>
        <w:t xml:space="preserve">Reported pain pattern:</w:t>
      </w:r>
      <w:r>
        <w:br/>
      </w:r>
      <w:r>
        <w:t xml:space="preserve">non-zero baseline -&gt; increased at the same time -&gt; remained increased</w:t>
      </w:r>
      <w:r>
        <w:br/>
      </w:r>
      <w:r>
        <w:t xml:space="preserve">during sustained movement -&gt; returned to baseline at the same time</w:t>
      </w:r>
    </w:p>
    <w:p>
      <w:r>
        <w:t xml:space="preserve"/>
      </w:r>
    </w:p>
    <w:p>
      <w:r>
        <w:t xml:space="preserve">This observation does not establish a physiological mechanism, diagnosis, or causal relationship.</w:t>
      </w:r>
    </w:p>
    <w:p>
      <w:r>
        <w:t xml:space="preserve"/>
      </w:r>
    </w:p>
    <w:p>
      <w:pPr>
        <w:spacing w:before="120" w:after="80"/>
      </w:pPr>
      <w:bookmarkStart w:id="13" w:name="other_hand_history_reported_by_the_patie"/>
      <w:r>
        <w:rPr>
          <w:b/>
          <w:sz w:val="32"/>
          <w:szCs w:val="32"/>
        </w:rPr>
        <w:t xml:space="preserve">Other hand history reported by the patient</w:t>
      </w:r>
      <w:bookmarkEnd w:id="13"/>
    </w:p>
    <w:p>
      <w:r>
        <w:t xml:space="preserve"/>
      </w:r>
    </w:p>
    <w:p>
      <w:pPr>
        <w:ind w:left="360" w:hanging="180"/>
        <w:spacing w:after="40"/>
      </w:pPr>
      <w:r>
        <w:t xml:space="preserve">• </w:t>
      </w:r>
      <w:r>
        <w:t xml:space="preserve">A right-hand wound was present during the acute February episode.</w:t>
      </w:r>
    </w:p>
    <w:p>
      <w:pPr>
        <w:ind w:left="360" w:hanging="180"/>
        <w:spacing w:after="40"/>
      </w:pPr>
      <w:r>
        <w:t xml:space="preserve">• </w:t>
      </w:r>
      <w:r>
        <w:t xml:space="preserve">Later recurrent skin changes and Elocon treatment are recorded separately in the </w:t>
      </w:r>
      <w:r>
        <w:rPr>
          <w:b/>
        </w:rPr>
        <w:t xml:space="preserve">Recurrent Hand Skin Changes and Suspected Naproxen Medicine Reaction Record</w:t>
      </w:r>
      <w:r>
        <w:t xml:space="preserve">.</w:t>
      </w:r>
    </w:p>
    <w:p>
      <w:pPr>
        <w:ind w:left="360" w:hanging="180"/>
        <w:spacing w:after="40"/>
      </w:pPr>
      <w:r>
        <w:t xml:space="preserve">• </w:t>
      </w:r>
      <w:r>
        <w:t xml:space="preserve">No causal relationship between the hand condition and the acute low-back-pain episode is asserted.</w:t>
      </w:r>
    </w:p>
    <w:p>
      <w:r>
        <w:t xml:space="preserve"/>
      </w:r>
    </w:p>
    <w:p>
      <w:pPr>
        <w:spacing w:before="120" w:after="80"/>
      </w:pPr>
      <w:bookmarkStart w:id="14" w:name="questions_requests"/>
      <w:r>
        <w:rPr>
          <w:b/>
          <w:sz w:val="36"/>
          <w:szCs w:val="36"/>
        </w:rPr>
        <w:t xml:space="preserve">Questions / Requests</w:t>
      </w:r>
      <w:bookmarkEnd w:id="14"/>
    </w:p>
    <w:p>
      <w:r>
        <w:t xml:space="preserve"/>
      </w:r>
    </w:p>
    <w:p>
      <w:pPr>
        <w:spacing w:before="120" w:after="80"/>
      </w:pPr>
      <w:bookmarkStart w:id="15" w:name="information_for_the_treating_clinician"/>
      <w:r>
        <w:rPr>
          <w:b/>
          <w:sz w:val="32"/>
          <w:szCs w:val="32"/>
        </w:rPr>
        <w:t xml:space="preserve">Information for the treating clinician</w:t>
      </w:r>
      <w:bookmarkEnd w:id="15"/>
    </w:p>
    <w:p>
      <w:r>
        <w:t xml:space="preserve"/>
      </w:r>
    </w:p>
    <w:p>
      <w:pPr>
        <w:ind w:left="360" w:hanging="180"/>
        <w:spacing w:after="40"/>
      </w:pPr>
      <w:r>
        <w:t xml:space="preserve">• </w:t>
      </w:r>
      <w:r>
        <w:t xml:space="preserve">This record is provided because the patient recalls that a GP considered the acute low-back pain and pre-existing right lower-limb symptoms might be related.</w:t>
      </w:r>
    </w:p>
    <w:p>
      <w:pPr>
        <w:ind w:left="360" w:hanging="180"/>
        <w:spacing w:after="40"/>
      </w:pPr>
      <w:r>
        <w:t xml:space="preserve">• </w:t>
      </w:r>
      <w:r>
        <w:t xml:space="preserve">The patient would appreciate the treating clinician's opinion on whether this acute episode is relevant to the ongoing assessment.</w:t>
      </w:r>
    </w:p>
    <w:p>
      <w:pPr>
        <w:ind w:left="360" w:hanging="180"/>
        <w:spacing w:after="40"/>
      </w:pPr>
      <w:r>
        <w:t xml:space="preserve">• </w:t>
      </w:r>
      <w:r>
        <w:t xml:space="preserve">The long-term health timeline should be read for the full course of the right lower-limb / knee symptoms.</w:t>
      </w:r>
    </w:p>
    <w:p>
      <w:r>
        <w:t xml:space="preserve"/>
      </w:r>
    </w:p>
    <w:p>
      <w:pPr>
        <w:spacing w:before="120" w:after="80"/>
      </w:pPr>
      <w:bookmarkStart w:id="16" w:name="notes"/>
      <w:r>
        <w:rPr>
          <w:b/>
          <w:sz w:val="36"/>
          <w:szCs w:val="36"/>
        </w:rPr>
        <w:t xml:space="preserve">Notes</w:t>
      </w:r>
      <w:bookmarkEnd w:id="16"/>
    </w:p>
    <w:p>
      <w:r>
        <w:t xml:space="preserve"/>
      </w:r>
    </w:p>
    <w:p>
      <w:pPr>
        <w:spacing w:before="120" w:after="80"/>
      </w:pPr>
      <w:bookmarkStart w:id="17" w:name="records_that_may_help_verify_dates_or_tr"/>
      <w:r>
        <w:rPr>
          <w:b/>
          <w:sz w:val="32"/>
          <w:szCs w:val="32"/>
        </w:rPr>
        <w:t xml:space="preserve">Records that may help verify dates or treatment</w:t>
      </w:r>
      <w:bookmarkEnd w:id="17"/>
    </w:p>
    <w:p>
      <w:r>
        <w:t xml:space="preserve"/>
      </w:r>
    </w:p>
    <w:p>
      <w:pPr>
        <w:ind w:left="360" w:hanging="180"/>
        <w:spacing w:after="40"/>
      </w:pPr>
      <w:r>
        <w:t xml:space="preserve">• </w:t>
      </w:r>
      <w:r>
        <w:t xml:space="preserve">UTC prescription labels dated 23 February 2026.</w:t>
      </w:r>
    </w:p>
    <w:p>
      <w:pPr>
        <w:ind w:left="360" w:hanging="180"/>
        <w:spacing w:after="40"/>
      </w:pPr>
      <w:r>
        <w:t xml:space="preserve">• </w:t>
      </w:r>
      <w:r>
        <w:t xml:space="preserve">GP medication record / prescription history.</w:t>
      </w:r>
    </w:p>
    <w:p>
      <w:pPr>
        <w:ind w:left="360" w:hanging="180"/>
        <w:spacing w:after="40"/>
      </w:pPr>
      <w:r>
        <w:t xml:space="preserve">• </w:t>
      </w:r>
      <w:r>
        <w:t xml:space="preserve">Any MIU, UTC, or GP consultation records.</w:t>
      </w:r>
    </w:p>
    <w:p>
      <w:pPr>
        <w:ind w:left="360" w:hanging="180"/>
        <w:spacing w:after="40"/>
      </w:pPr>
      <w:r>
        <w:t xml:space="preserve">• </w:t>
      </w:r>
      <w:r>
        <w:t xml:space="preserve">Photos of the hand wound, if retained.</w:t>
      </w:r>
    </w:p>
    <w:p>
      <w:r>
        <w:t xml:space="preserve"/>
      </w:r>
    </w:p>
    <w:sectPr>
      <w:pgSz w:w="12240" w:h="15840"/>
      <w:pgMar w:top="1440" w:right="1440" w:bottom="1440" w:left="1440"/>
    </w:sectPr>
  </w:body>
</w:document>
</file>

<file path=word/_rels/document.xml.rels><?xml version="1.0" encoding="UTF-8" standalone="yes"?>
<Relationships
  xmlns="http://schemas.openxmlformats.org/package/2006/relationships"
>

</Relationships>
</file>