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
  <Relationship
    Id="rId1"
    Type="http://schemas.openxmlformats.org/officeDocument/2006/relationships/officeDocument"
    Target="word/document.xml"
  />
</Relationships>
</file>

<file path=word/document.xml><?xml version="1.0" encoding="utf-8"?>
<w:document xmlns:w="http://schemas.openxmlformats.org/wordprocessingml/2006/main" xmlns:r="http://schemas.openxmlformats.org/officeDocument/2006/relationships">
  <w:body>
    <w:p>
      <w:pPr>
        <w:spacing w:before="120" w:after="80"/>
      </w:pPr>
      <w:bookmarkStart w:id="1" w:name="long_term_health_summary"/>
      <w:r>
        <w:rPr>
          <w:b/>
          <w:sz w:val="40"/>
          <w:szCs w:val="40"/>
        </w:rPr>
        <w:t xml:space="preserve">Long-Term Health Summary</w:t>
      </w:r>
      <w:bookmarkEnd w:id="1"/>
    </w:p>
    <w:p>
      <w:r>
        <w:t xml:space="preserve"/>
      </w:r>
    </w:p>
    <w:p>
      <w:r>
        <w:t xml:space="preserve">Date: Friday 11 September 2026</w:t>
      </w:r>
    </w:p>
    <w:p>
      <w:r>
        <w:t xml:space="preserve"/>
      </w:r>
    </w:p>
    <w:p>
      <w:r>
        <w:t xml:space="preserve">Type: Letter</w:t>
      </w:r>
    </w:p>
    <w:p>
      <w:r>
        <w:t xml:space="preserve"/>
      </w:r>
    </w:p>
    <w:p>
      <w:pPr>
        <w:spacing w:before="120" w:after="80"/>
      </w:pPr>
      <w:bookmarkStart w:id="2" w:name="summary"/>
      <w:r>
        <w:rPr>
          <w:b/>
          <w:sz w:val="36"/>
          <w:szCs w:val="36"/>
        </w:rPr>
        <w:t xml:space="preserve">Summary</w:t>
      </w:r>
      <w:bookmarkEnd w:id="2"/>
    </w:p>
    <w:p>
      <w:r>
        <w:t xml:space="preserve"/>
      </w:r>
    </w:p>
    <w:p>
      <w:r>
        <w:t xml:space="preserve">This document provides a structured overview of the main health problems recorded since September 2025.</w:t>
      </w:r>
    </w:p>
    <w:p>
      <w:r>
        <w:t xml:space="preserve"/>
      </w:r>
    </w:p>
    <w:p>
      <w:r>
        <w:t xml:space="preserve">The purpose is to preserve the chronology, new symptoms, new clinical findings, and major management decisions while keeping detailed measurements, treatment schedules, and specialist-level observations in separate supporting records.</w:t>
      </w:r>
    </w:p>
    <w:p>
      <w:r>
        <w:t xml:space="preserve"/>
      </w:r>
    </w:p>
    <w:p>
      <w:r>
        <w:t xml:space="preserve">No single shared cause is assumed.</w:t>
      </w:r>
    </w:p>
    <w:p>
      <w:r>
        <w:t xml:space="preserve"/>
      </w:r>
    </w:p>
    <w:p>
      <w:pPr>
        <w:spacing w:before="120" w:after="80"/>
      </w:pPr>
      <w:bookmarkStart w:id="3" w:name="background"/>
      <w:r>
        <w:rPr>
          <w:b/>
          <w:sz w:val="36"/>
          <w:szCs w:val="36"/>
        </w:rPr>
        <w:t xml:space="preserve">Background</w:t>
      </w:r>
      <w:bookmarkEnd w:id="3"/>
    </w:p>
    <w:p>
      <w:r>
        <w:t xml:space="preserve"/>
      </w:r>
    </w:p>
    <w:p>
      <w:r>
        <w:t xml:space="preserve">Different parts of this history have been assessed by GP, FCP, physiotherapy, Musculoskeletal Services, Urgent Treatment Centre, and other clinical services.</w:t>
      </w:r>
    </w:p>
    <w:p>
      <w:r>
        <w:t xml:space="preserve"/>
      </w:r>
    </w:p>
    <w:p>
      <w:r>
        <w:t xml:space="preserve">Several symptom groups appeared within relatively close time windows. These overlaps are recorded because they may be clinically relevant, but the document does not assume that symptoms occurring close together have the same cause.</w:t>
      </w:r>
    </w:p>
    <w:p>
      <w:r>
        <w:t xml:space="preserve"/>
      </w:r>
    </w:p>
    <w:p>
      <w:pPr>
        <w:spacing w:before="120" w:after="80"/>
      </w:pPr>
      <w:bookmarkStart w:id="4" w:name="details"/>
      <w:r>
        <w:rPr>
          <w:b/>
          <w:sz w:val="36"/>
          <w:szCs w:val="36"/>
        </w:rPr>
        <w:t xml:space="preserve">Details</w:t>
      </w:r>
      <w:bookmarkEnd w:id="4"/>
    </w:p>
    <w:p>
      <w:r>
        <w:t xml:space="preserve"/>
      </w:r>
    </w:p>
    <w:p>
      <w:pPr>
        <w:spacing w:before="120" w:after="80"/>
      </w:pPr>
      <w:bookmarkStart w:id="5" w:name="phase_1_september_2025_to_early_february"/>
      <w:r>
        <w:rPr>
          <w:b/>
          <w:sz w:val="32"/>
          <w:szCs w:val="32"/>
        </w:rPr>
        <w:t xml:space="preserve">Phase 1 – September 2025 to early February 2026: initial lower-limb problem, weight reduction, and bilateral calf heaviness</w:t>
      </w:r>
      <w:bookmarkEnd w:id="5"/>
    </w:p>
    <w:p>
      <w:r>
        <w:t xml:space="preserve"/>
      </w:r>
    </w:p>
    <w:p>
      <w:r>
        <w:t xml:space="preserve">Key events:</w:t>
      </w:r>
    </w:p>
    <w:p>
      <w:r>
        <w:t xml:space="preserve"/>
      </w:r>
    </w:p>
    <w:p>
      <w:pPr>
        <w:ind w:left="360" w:hanging="180"/>
        <w:spacing w:after="40"/>
      </w:pPr>
      <w:r>
        <w:t xml:space="preserve">• </w:t>
      </w:r>
      <w:r>
        <w:t xml:space="preserve">Around mid-September 2025, intermittent pain began around the lower/front part of the right knee, particularly on stairs.</w:t>
      </w:r>
    </w:p>
    <w:p>
      <w:pPr>
        <w:ind w:left="360" w:hanging="180"/>
        <w:spacing w:after="40"/>
      </w:pPr>
      <w:r>
        <w:t xml:space="preserve">• </w:t>
      </w:r>
      <w:r>
        <w:t xml:space="preserve">There was no known injury or trauma.</w:t>
      </w:r>
    </w:p>
    <w:p>
      <w:pPr>
        <w:ind w:left="360" w:hanging="180"/>
        <w:spacing w:after="40"/>
      </w:pPr>
      <w:r>
        <w:t xml:space="preserve">• </w:t>
      </w:r>
      <w:r>
        <w:t xml:space="preserve">A blood sample taken on </w:t>
      </w:r>
      <w:r>
        <w:rPr>
          <w:b/>
        </w:rPr>
        <w:t xml:space="preserve">24 September 2025</w:t>
      </w:r>
      <w:r>
        <w:t xml:space="preserve"> later showed </w:t>
      </w:r>
      <w:r>
        <w:rPr>
          <w:b/>
        </w:rPr>
        <w:t xml:space="preserve">ALT 57</w:t>
      </w:r>
      <w:r>
        <w:t xml:space="preserve">.</w:t>
      </w:r>
    </w:p>
    <w:p>
      <w:pPr>
        <w:ind w:left="360" w:hanging="180"/>
        <w:spacing w:after="40"/>
      </w:pPr>
      <w:r>
        <w:t xml:space="preserve">• </w:t>
      </w:r>
      <w:r>
        <w:t xml:space="preserve">A GP consultation took place on Thursday 25 September 2025 and physiotherapy was subsequently arranged.</w:t>
      </w:r>
    </w:p>
    <w:p>
      <w:pPr>
        <w:ind w:left="360" w:hanging="180"/>
        <w:spacing w:after="40"/>
      </w:pPr>
      <w:r>
        <w:t xml:space="preserve">• </w:t>
      </w:r>
      <w:r>
        <w:t xml:space="preserve">After receiving advice to reduce weight, the patient gradually adopted a ketogenic-style diet from around early October 2025.</w:t>
      </w:r>
    </w:p>
    <w:p>
      <w:pPr>
        <w:ind w:left="360" w:hanging="180"/>
        <w:spacing w:after="40"/>
      </w:pPr>
      <w:r>
        <w:t xml:space="preserve">• </w:t>
      </w:r>
      <w:r>
        <w:t xml:space="preserve">Daily calorie / macronutrient targets were not prospectively calculated. Any estimate of energy deficit was retrospective only.</w:t>
      </w:r>
    </w:p>
    <w:p>
      <w:pPr>
        <w:ind w:left="360" w:hanging="180"/>
        <w:spacing w:after="40"/>
      </w:pPr>
      <w:r>
        <w:t xml:space="preserve">• </w:t>
      </w:r>
      <w:r>
        <w:t xml:space="preserve">Body weight decreased from approximately </w:t>
      </w:r>
      <w:r>
        <w:rPr>
          <w:b/>
        </w:rPr>
        <w:t xml:space="preserve">94 kg to 86 kg</w:t>
      </w:r>
      <w:r>
        <w:t xml:space="preserve"> over the following months; measurements were taken on different scales and are therefore approximate.</w:t>
      </w:r>
    </w:p>
    <w:p>
      <w:pPr>
        <w:ind w:left="360" w:hanging="180"/>
        <w:spacing w:after="40"/>
      </w:pPr>
      <w:r>
        <w:t xml:space="preserve">• </w:t>
      </w:r>
      <w:r>
        <w:t xml:space="preserve">Clothing became clearly looser, particularly around the waist and thighs.</w:t>
      </w:r>
    </w:p>
    <w:p>
      <w:pPr>
        <w:ind w:left="360" w:hanging="180"/>
        <w:spacing w:after="40"/>
      </w:pPr>
      <w:r>
        <w:t xml:space="preserve">• </w:t>
      </w:r>
      <w:r>
        <w:t xml:space="preserve">A blood sample taken on </w:t>
      </w:r>
      <w:r>
        <w:rPr>
          <w:b/>
        </w:rPr>
        <w:t xml:space="preserve">26 January 2026</w:t>
      </w:r>
      <w:r>
        <w:t xml:space="preserve"> showed </w:t>
      </w:r>
      <w:r>
        <w:rPr>
          <w:b/>
        </w:rPr>
        <w:t xml:space="preserve">ALT 21</w:t>
      </w:r>
      <w:r>
        <w:t xml:space="preserve">.</w:t>
      </w:r>
    </w:p>
    <w:p>
      <w:pPr>
        <w:ind w:left="360" w:hanging="180"/>
        <w:spacing w:after="40"/>
      </w:pPr>
      <w:r>
        <w:t xml:space="preserve">• </w:t>
      </w:r>
      <w:r>
        <w:t xml:space="preserve">Despite the overall weight reduction, both calves felt subjectively heavier rather than lighter, and walking felt as though greater effort was required to lift the legs.</w:t>
      </w:r>
    </w:p>
    <w:p>
      <w:pPr>
        <w:ind w:left="360" w:hanging="180"/>
        <w:spacing w:after="40"/>
      </w:pPr>
      <w:r>
        <w:t xml:space="preserve">• </w:t>
      </w:r>
      <w:r>
        <w:t xml:space="preserve">The calf heaviness was broadly bilateral and was not accompanied by calf pain, cramping, swelling, numbness, increased warmth, or skin-colour change.</w:t>
      </w:r>
    </w:p>
    <w:p>
      <w:pPr>
        <w:ind w:left="360" w:hanging="180"/>
        <w:spacing w:after="40"/>
      </w:pPr>
      <w:r>
        <w:t xml:space="preserve">• </w:t>
      </w:r>
      <w:r>
        <w:t xml:space="preserve">The first recorded physiotherapy appointment took place on Monday 17 November 2025.</w:t>
      </w:r>
    </w:p>
    <w:p>
      <w:pPr>
        <w:ind w:left="360" w:hanging="180"/>
        <w:spacing w:after="40"/>
      </w:pPr>
      <w:r>
        <w:t xml:space="preserve">• </w:t>
      </w:r>
      <w:r>
        <w:t xml:space="preserve">A home-exercise programme and resistance-band exercises were provided.</w:t>
      </w:r>
    </w:p>
    <w:p>
      <w:pPr>
        <w:ind w:left="360" w:hanging="180"/>
        <w:spacing w:after="40"/>
      </w:pPr>
      <w:r>
        <w:t xml:space="preserve">• </w:t>
      </w:r>
      <w:r>
        <w:t xml:space="preserve">During the early physiotherapy period, an unfamiliar sensation occurred around the inner aspect of the right knee during exercise. The movement was stopped.</w:t>
      </w:r>
    </w:p>
    <w:p>
      <w:pPr>
        <w:ind w:left="360" w:hanging="180"/>
        <w:spacing w:after="40"/>
      </w:pPr>
      <w:r>
        <w:t xml:space="preserve">• </w:t>
      </w:r>
      <w:r>
        <w:t xml:space="preserve">Over the following one to two weeks, the earlier stair-related pain did not recur in the same way.</w:t>
      </w:r>
    </w:p>
    <w:p>
      <w:pPr>
        <w:ind w:left="360" w:hanging="180"/>
        <w:spacing w:after="40"/>
      </w:pPr>
      <w:r>
        <w:t xml:space="preserve">• </w:t>
      </w:r>
      <w:r>
        <w:t xml:space="preserve">By Monday 9 February 2026, the contrast between overall weight loss and persistent bilateral calf heaviness had become sufficiently noticeable to raise during FCP assessment.</w:t>
      </w:r>
    </w:p>
    <w:p>
      <w:pPr>
        <w:ind w:left="360" w:hanging="180"/>
        <w:spacing w:after="40"/>
      </w:pPr>
      <w:r>
        <w:t xml:space="preserve">• </w:t>
      </w:r>
      <w:r>
        <w:t xml:space="preserve">FCP assessment recorded:</w:t>
      </w:r>
    </w:p>
    <w:p>
      <w:pPr>
        <w:ind w:left="720" w:hanging="180"/>
        <w:spacing w:after="40"/>
      </w:pPr>
      <w:r>
        <w:t xml:space="preserve">• </w:t>
      </w:r>
      <w:r>
        <w:rPr>
          <w:b/>
        </w:rPr>
        <w:t xml:space="preserve">bilateral anterior mechanical knee pain, right greater than left</w:t>
      </w:r>
      <w:r>
        <w:t xml:space="preserve">;</w:t>
      </w:r>
    </w:p>
    <w:p>
      <w:pPr>
        <w:ind w:left="720" w:hanging="180"/>
        <w:spacing w:after="40"/>
      </w:pPr>
      <w:r>
        <w:t xml:space="preserve">• </w:t>
      </w:r>
      <w:r>
        <w:t xml:space="preserve">mild quadriceps weakness;</w:t>
      </w:r>
    </w:p>
    <w:p>
      <w:pPr>
        <w:ind w:left="720" w:hanging="180"/>
        <w:spacing w:after="40"/>
      </w:pPr>
      <w:r>
        <w:t xml:space="preserve">• </w:t>
      </w:r>
      <w:r>
        <w:t xml:space="preserve">mild lateral patellar deviation;</w:t>
      </w:r>
    </w:p>
    <w:p>
      <w:pPr>
        <w:ind w:left="720" w:hanging="180"/>
        <w:spacing w:after="40"/>
      </w:pPr>
      <w:r>
        <w:t xml:space="preserve">• </w:t>
      </w:r>
      <w:r>
        <w:t xml:space="preserve">outward alignment involving the right knee and lower limb;</w:t>
      </w:r>
    </w:p>
    <w:p>
      <w:pPr>
        <w:ind w:left="720" w:hanging="180"/>
        <w:spacing w:after="40"/>
      </w:pPr>
      <w:r>
        <w:t xml:space="preserve">• </w:t>
      </w:r>
      <w:r>
        <w:t xml:space="preserve">full knee flexion and extension;</w:t>
      </w:r>
    </w:p>
    <w:p>
      <w:pPr>
        <w:ind w:left="720" w:hanging="180"/>
        <w:spacing w:after="40"/>
      </w:pPr>
      <w:r>
        <w:t xml:space="preserve">• </w:t>
      </w:r>
      <w:r>
        <w:t xml:space="preserve">no swelling or increased warmth.</w:t>
      </w:r>
    </w:p>
    <w:p>
      <w:pPr>
        <w:ind w:left="360" w:hanging="180"/>
        <w:spacing w:after="40"/>
      </w:pPr>
      <w:r>
        <w:t xml:space="preserve">• </w:t>
      </w:r>
      <w:r>
        <w:t xml:space="preserve">Around Friday 13 to Sunday 15 February, a short separate episode of stronger left-knee pain occurred during squatting or deep bending, with very brief numbness, tingling, or weakness-like sensation.</w:t>
      </w:r>
    </w:p>
    <w:p>
      <w:r>
        <w:t xml:space="preserve"/>
      </w:r>
    </w:p>
    <w:p>
      <w:r>
        <w:t xml:space="preserve">Detailed record:</w:t>
      </w:r>
    </w:p>
    <w:p>
      <w:r>
        <w:t xml:space="preserve"/>
      </w:r>
    </w:p>
    <w:p>
      <w:pPr>
        <w:ind w:left="360" w:hanging="180"/>
        <w:spacing w:after="40"/>
      </w:pPr>
      <w:r>
        <w:t xml:space="preserve">• </w:t>
      </w:r>
      <w:r>
        <w:rPr>
          <w:b/>
        </w:rPr>
        <w:t xml:space="preserve">Knee and Lower-Limb History</w:t>
      </w:r>
    </w:p>
    <w:p>
      <w:r>
        <w:t xml:space="preserve"/>
      </w:r>
    </w:p>
    <w:p>
      <w:pPr>
        <w:spacing w:before="120" w:after="80"/>
      </w:pPr>
      <w:bookmarkStart w:id="6" w:name="phase_2_february_2026_acute_low_back_pai"/>
      <w:r>
        <w:rPr>
          <w:b/>
          <w:sz w:val="32"/>
          <w:szCs w:val="32"/>
        </w:rPr>
        <w:t xml:space="preserve">Phase 2 – February 2026: acute low-back pain, right-hand wound, urgent assessment, and subsequent treatment</w:t>
      </w:r>
      <w:bookmarkEnd w:id="6"/>
    </w:p>
    <w:p>
      <w:r>
        <w:t xml:space="preserve"/>
      </w:r>
    </w:p>
    <w:p>
      <w:r>
        <w:t xml:space="preserve">Key events:</w:t>
      </w:r>
    </w:p>
    <w:p>
      <w:r>
        <w:t xml:space="preserve"/>
      </w:r>
    </w:p>
    <w:p>
      <w:pPr>
        <w:ind w:left="360" w:hanging="180"/>
        <w:spacing w:after="40"/>
      </w:pPr>
      <w:r>
        <w:t xml:space="preserve">• </w:t>
      </w:r>
      <w:r>
        <w:t xml:space="preserve">Before the acute episode, a right-hand wound or skin lesion was already present. The cause was not known to the patient.</w:t>
      </w:r>
    </w:p>
    <w:p>
      <w:pPr>
        <w:ind w:left="360" w:hanging="180"/>
        <w:spacing w:after="40"/>
      </w:pPr>
      <w:r>
        <w:t xml:space="preserve">• </w:t>
      </w:r>
      <w:r>
        <w:t xml:space="preserve">Around Friday 20 February, low-back pain became more noticeable and persistent.</w:t>
      </w:r>
    </w:p>
    <w:p>
      <w:pPr>
        <w:ind w:left="360" w:hanging="180"/>
        <w:spacing w:after="40"/>
      </w:pPr>
      <w:r>
        <w:t xml:space="preserve">• </w:t>
      </w:r>
      <w:r>
        <w:t xml:space="preserve">On Sunday 22 February, the low-back pain became substantially more severe and prevented normal sleep.</w:t>
      </w:r>
    </w:p>
    <w:p>
      <w:pPr>
        <w:ind w:left="360" w:hanging="180"/>
        <w:spacing w:after="40"/>
      </w:pPr>
      <w:r>
        <w:t xml:space="preserve">• </w:t>
      </w:r>
      <w:r>
        <w:t xml:space="preserve">The right-hand wound was still unresolved at the same time.</w:t>
      </w:r>
    </w:p>
    <w:p>
      <w:pPr>
        <w:ind w:left="360" w:hanging="180"/>
        <w:spacing w:after="40"/>
      </w:pPr>
      <w:r>
        <w:t xml:space="preserve">• </w:t>
      </w:r>
      <w:r>
        <w:t xml:space="preserve">On Monday 23 February, the patient attended MIU and then an Urgent Treatment Centre because both the severe low-back pain and unresolved right-hand wound were present.</w:t>
      </w:r>
    </w:p>
    <w:p>
      <w:pPr>
        <w:ind w:left="360" w:hanging="180"/>
        <w:spacing w:after="40"/>
      </w:pPr>
      <w:r>
        <w:t xml:space="preserve">• </w:t>
      </w:r>
      <w:r>
        <w:t xml:space="preserve">Before medication had been started, both the hand wound and acute low-back pain were already present.</w:t>
      </w:r>
    </w:p>
    <w:p>
      <w:pPr>
        <w:ind w:left="360" w:hanging="180"/>
        <w:spacing w:after="40"/>
      </w:pPr>
      <w:r>
        <w:t xml:space="preserve">• </w:t>
      </w:r>
      <w:r>
        <w:t xml:space="preserve">UTC prescribed:</w:t>
      </w:r>
    </w:p>
    <w:p>
      <w:pPr>
        <w:ind w:left="720" w:hanging="180"/>
        <w:spacing w:after="40"/>
      </w:pPr>
      <w:r>
        <w:t xml:space="preserve">• </w:t>
      </w:r>
      <w:r>
        <w:rPr>
          <w:b/>
        </w:rPr>
        <w:t xml:space="preserve">Flucloxacillin 500 mg</w:t>
      </w:r>
      <w:r>
        <w:t xml:space="preserve"> for the right-hand wound;</w:t>
      </w:r>
    </w:p>
    <w:p>
      <w:pPr>
        <w:ind w:left="720" w:hanging="180"/>
        <w:spacing w:after="40"/>
      </w:pPr>
      <w:r>
        <w:t xml:space="preserve">• </w:t>
      </w:r>
      <w:r>
        <w:rPr>
          <w:b/>
        </w:rPr>
        <w:t xml:space="preserve">Naproxen 500 mg</w:t>
      </w:r>
      <w:r>
        <w:t xml:space="preserve"> for pain;</w:t>
      </w:r>
    </w:p>
    <w:p>
      <w:pPr>
        <w:ind w:left="720" w:hanging="180"/>
        <w:spacing w:after="40"/>
      </w:pPr>
      <w:r>
        <w:t xml:space="preserve">• </w:t>
      </w:r>
      <w:r>
        <w:rPr>
          <w:b/>
        </w:rPr>
        <w:t xml:space="preserve">Omeprazole 20 mg</w:t>
      </w:r>
      <w:r>
        <w:t xml:space="preserve">.</w:t>
      </w:r>
    </w:p>
    <w:p>
      <w:pPr>
        <w:ind w:left="360" w:hanging="180"/>
        <w:spacing w:after="40"/>
      </w:pPr>
      <w:r>
        <w:t xml:space="preserve">• </w:t>
      </w:r>
      <w:r>
        <w:t xml:space="preserve">Around the start of antibiotic treatment, the patient developed a strong preference for carbohydrate-containing foods and was unable to continue the earlier ketogenic-style diet despite attempts to do so.</w:t>
      </w:r>
    </w:p>
    <w:p>
      <w:pPr>
        <w:ind w:left="360" w:hanging="180"/>
        <w:spacing w:after="40"/>
      </w:pPr>
      <w:r>
        <w:t xml:space="preserve">• </w:t>
      </w:r>
      <w:r>
        <w:t xml:space="preserve">Body weight then remained broadly stable, while the bilateral calf heaviness did not clearly resolve.</w:t>
      </w:r>
    </w:p>
    <w:p>
      <w:pPr>
        <w:ind w:left="360" w:hanging="180"/>
        <w:spacing w:after="40"/>
      </w:pPr>
      <w:r>
        <w:t xml:space="preserve">• </w:t>
      </w:r>
      <w:r>
        <w:t xml:space="preserve">During the same acute low-back-pain episode, the patient noticed an unusual apparent timing relationship between movement of a hospital lift and changes in low-back-pain intensity.</w:t>
      </w:r>
    </w:p>
    <w:p>
      <w:pPr>
        <w:ind w:left="360" w:hanging="180"/>
        <w:spacing w:after="40"/>
      </w:pPr>
      <w:r>
        <w:t xml:space="preserve">• </w:t>
      </w:r>
      <w:r>
        <w:t xml:space="preserve">This lift-related observation was recorded only during this acute episode.</w:t>
      </w:r>
    </w:p>
    <w:p>
      <w:pPr>
        <w:ind w:left="360" w:hanging="180"/>
        <w:spacing w:after="40"/>
      </w:pPr>
      <w:r>
        <w:t xml:space="preserve">• </w:t>
      </w:r>
      <w:r>
        <w:t xml:space="preserve">The severe low-back-pain episode did not recur at the same recorded intensity.</w:t>
      </w:r>
    </w:p>
    <w:p>
      <w:r>
        <w:t xml:space="preserve"/>
      </w:r>
    </w:p>
    <w:p>
      <w:r>
        <w:t xml:space="preserve">A later medicine-reaction concern developed only after treatment had begun and is recorded in Phase 3.</w:t>
      </w:r>
    </w:p>
    <w:p>
      <w:r>
        <w:t xml:space="preserve"/>
      </w:r>
    </w:p>
    <w:p>
      <w:r>
        <w:t xml:space="preserve">Detailed records:</w:t>
      </w:r>
    </w:p>
    <w:p>
      <w:r>
        <w:t xml:space="preserve"/>
      </w:r>
    </w:p>
    <w:p>
      <w:pPr>
        <w:ind w:left="360" w:hanging="180"/>
        <w:spacing w:after="40"/>
      </w:pPr>
      <w:r>
        <w:t xml:space="preserve">• </w:t>
      </w:r>
      <w:r>
        <w:rPr>
          <w:b/>
        </w:rPr>
        <w:t xml:space="preserve">Lift Movement and Pain Synchronisation Record</w:t>
      </w:r>
    </w:p>
    <w:p>
      <w:pPr>
        <w:ind w:left="360" w:hanging="180"/>
        <w:spacing w:after="40"/>
      </w:pPr>
      <w:r>
        <w:t xml:space="preserve">• </w:t>
      </w:r>
      <w:r>
        <w:rPr>
          <w:b/>
        </w:rPr>
        <w:t xml:space="preserve">Recurrent Hand Skin Changes and Suspected Naproxen Medicine Reaction Record</w:t>
      </w:r>
    </w:p>
    <w:p>
      <w:r>
        <w:t xml:space="preserve"/>
      </w:r>
    </w:p>
    <w:p>
      <w:pPr>
        <w:spacing w:before="120" w:after="80"/>
      </w:pPr>
      <w:bookmarkStart w:id="7" w:name="phase_3_late_february_to_early_july_2026"/>
      <w:r>
        <w:rPr>
          <w:b/>
          <w:sz w:val="32"/>
          <w:szCs w:val="32"/>
        </w:rPr>
        <w:t xml:space="preserve">Phase 3 – late February to early July 2026: suspected medicine reaction and recurrent right-hand skin cycle</w:t>
      </w:r>
      <w:bookmarkEnd w:id="7"/>
    </w:p>
    <w:p>
      <w:r>
        <w:t xml:space="preserve"/>
      </w:r>
    </w:p>
    <w:p>
      <w:r>
        <w:t xml:space="preserve">Key events:</w:t>
      </w:r>
    </w:p>
    <w:p>
      <w:r>
        <w:t xml:space="preserve"/>
      </w:r>
    </w:p>
    <w:p>
      <w:pPr>
        <w:ind w:left="360" w:hanging="180"/>
        <w:spacing w:after="40"/>
      </w:pPr>
      <w:r>
        <w:t xml:space="preserve">• </w:t>
      </w:r>
      <w:r>
        <w:t xml:space="preserve">After naproxen and flucloxacillin treatment had started, numerous itchy red spots developed from the wrist towards the elbow.</w:t>
      </w:r>
    </w:p>
    <w:p>
      <w:pPr>
        <w:ind w:left="360" w:hanging="180"/>
        <w:spacing w:after="40"/>
      </w:pPr>
      <w:r>
        <w:t xml:space="preserve">• </w:t>
      </w:r>
      <w:r>
        <w:t xml:space="preserve">The skin changes improved after naproxen was stopped while flucloxacillin continued.</w:t>
      </w:r>
    </w:p>
    <w:p>
      <w:pPr>
        <w:ind w:left="360" w:hanging="180"/>
        <w:spacing w:after="40"/>
      </w:pPr>
      <w:r>
        <w:t xml:space="preserve">• </w:t>
      </w:r>
      <w:r>
        <w:t xml:space="preserve">Naproxen remains the patient's main suspected trigger, although this has not been clinically confirmed.</w:t>
      </w:r>
    </w:p>
    <w:p>
      <w:pPr>
        <w:ind w:left="360" w:hanging="180"/>
        <w:spacing w:after="40"/>
      </w:pPr>
      <w:r>
        <w:t xml:space="preserve">• </w:t>
      </w:r>
      <w:r>
        <w:t xml:space="preserve">The original right-hand wound later closed.</w:t>
      </w:r>
    </w:p>
    <w:p>
      <w:pPr>
        <w:ind w:left="360" w:hanging="180"/>
        <w:spacing w:after="40"/>
      </w:pPr>
      <w:r>
        <w:t xml:space="preserve">• </w:t>
      </w:r>
      <w:r>
        <w:t xml:space="preserve">Recurrent raised, itchy, rough, or otherwise abnormal skin changes repeatedly returned in or near the same area on the back of the right hand.</w:t>
      </w:r>
    </w:p>
    <w:p>
      <w:pPr>
        <w:ind w:left="360" w:hanging="180"/>
        <w:spacing w:after="40"/>
      </w:pPr>
      <w:r>
        <w:t xml:space="preserve">• </w:t>
      </w:r>
      <w:r>
        <w:t xml:space="preserve">Short courses of </w:t>
      </w:r>
      <w:r>
        <w:rPr>
          <w:b/>
        </w:rPr>
        <w:t xml:space="preserve">Elocon 0.1% ointment</w:t>
      </w:r>
      <w:r>
        <w:t xml:space="preserve"> generally improved the visible skin changes.</w:t>
      </w:r>
    </w:p>
    <w:p>
      <w:pPr>
        <w:ind w:left="360" w:hanging="180"/>
        <w:spacing w:after="40"/>
      </w:pPr>
      <w:r>
        <w:t xml:space="preserve">• </w:t>
      </w:r>
      <w:r>
        <w:t xml:space="preserve">Similar changes later returned after treatment stopped.</w:t>
      </w:r>
    </w:p>
    <w:p>
      <w:pPr>
        <w:ind w:left="360" w:hanging="180"/>
        <w:spacing w:after="40"/>
      </w:pPr>
      <w:r>
        <w:t xml:space="preserve">• </w:t>
      </w:r>
      <w:r>
        <w:t xml:space="preserve">The recurrent pattern continued across several cycles.</w:t>
      </w:r>
    </w:p>
    <w:p>
      <w:r>
        <w:t xml:space="preserve"/>
      </w:r>
    </w:p>
    <w:p>
      <w:r>
        <w:t xml:space="preserve">Detailed record:</w:t>
      </w:r>
    </w:p>
    <w:p>
      <w:r>
        <w:t xml:space="preserve"/>
      </w:r>
    </w:p>
    <w:p>
      <w:pPr>
        <w:ind w:left="360" w:hanging="180"/>
        <w:spacing w:after="40"/>
      </w:pPr>
      <w:r>
        <w:t xml:space="preserve">• </w:t>
      </w:r>
      <w:r>
        <w:rPr>
          <w:b/>
        </w:rPr>
        <w:t xml:space="preserve">Recurrent Hand Skin Changes and Suspected Naproxen Medicine Reaction Record</w:t>
      </w:r>
    </w:p>
    <w:p>
      <w:r>
        <w:t xml:space="preserve"/>
      </w:r>
    </w:p>
    <w:p>
      <w:pPr>
        <w:spacing w:before="120" w:after="80"/>
      </w:pPr>
      <w:bookmarkStart w:id="8" w:name="phase_4_july_2026_community_msk_review_f"/>
      <w:r>
        <w:rPr>
          <w:b/>
          <w:sz w:val="32"/>
          <w:szCs w:val="32"/>
        </w:rPr>
        <w:t xml:space="preserve">Phase 4 – July 2026: community MSK review followed by clustered skin, systemic, and right upper-limb changes</w:t>
      </w:r>
      <w:bookmarkEnd w:id="8"/>
    </w:p>
    <w:p>
      <w:r>
        <w:t xml:space="preserve"/>
      </w:r>
    </w:p>
    <w:p>
      <w:r>
        <w:t xml:space="preserve">Key events:</w:t>
      </w:r>
    </w:p>
    <w:p>
      <w:r>
        <w:t xml:space="preserve"/>
      </w:r>
    </w:p>
    <w:p>
      <w:pPr>
        <w:ind w:left="360" w:hanging="180"/>
        <w:spacing w:after="40"/>
      </w:pPr>
      <w:r>
        <w:t xml:space="preserve">• </w:t>
      </w:r>
      <w:r>
        <w:t xml:space="preserve">On Thursday 2 July, the continuing lower-limb problem was reviewed by Musculoskeletal Services.</w:t>
      </w:r>
    </w:p>
    <w:p>
      <w:pPr>
        <w:ind w:left="360" w:hanging="180"/>
        <w:spacing w:after="40"/>
      </w:pPr>
      <w:r>
        <w:t xml:space="preserve">• </w:t>
      </w:r>
      <w:r>
        <w:t xml:space="preserve">A revised exercise programme was provided.</w:t>
      </w:r>
    </w:p>
    <w:p>
      <w:pPr>
        <w:ind w:left="360" w:hanging="180"/>
        <w:spacing w:after="40"/>
      </w:pPr>
      <w:r>
        <w:t xml:space="preserve">• </w:t>
      </w:r>
      <w:r>
        <w:t xml:space="preserve">Within the same general period, the recurrent right-hand skin problem again became more noticeable.</w:t>
      </w:r>
    </w:p>
    <w:p>
      <w:pPr>
        <w:ind w:left="360" w:hanging="180"/>
        <w:spacing w:after="40"/>
      </w:pPr>
      <w:r>
        <w:t xml:space="preserve">• </w:t>
      </w:r>
      <w:r>
        <w:t xml:space="preserve">Around Monday 6 July, a new group of symptoms developed:</w:t>
      </w:r>
    </w:p>
    <w:p>
      <w:pPr>
        <w:ind w:left="720" w:hanging="180"/>
        <w:spacing w:after="40"/>
      </w:pPr>
      <w:r>
        <w:t xml:space="preserve">• </w:t>
      </w:r>
      <w:r>
        <w:t xml:space="preserve">markedly increased thirst;</w:t>
      </w:r>
    </w:p>
    <w:p>
      <w:pPr>
        <w:ind w:left="720" w:hanging="180"/>
        <w:spacing w:after="40"/>
      </w:pPr>
      <w:r>
        <w:t xml:space="preserve">• </w:t>
      </w:r>
      <w:r>
        <w:t xml:space="preserve">increased water intake;</w:t>
      </w:r>
    </w:p>
    <w:p>
      <w:pPr>
        <w:ind w:left="720" w:hanging="180"/>
        <w:spacing w:after="40"/>
      </w:pPr>
      <w:r>
        <w:t xml:space="preserve">• </w:t>
      </w:r>
      <w:r>
        <w:t xml:space="preserve">increased urinary frequency and urine volume;</w:t>
      </w:r>
    </w:p>
    <w:p>
      <w:pPr>
        <w:ind w:left="720" w:hanging="180"/>
        <w:spacing w:after="40"/>
      </w:pPr>
      <w:r>
        <w:t xml:space="preserve">• </w:t>
      </w:r>
      <w:r>
        <w:t xml:space="preserve">profound fatigue and sleepiness;</w:t>
      </w:r>
    </w:p>
    <w:p>
      <w:pPr>
        <w:ind w:left="720" w:hanging="180"/>
        <w:spacing w:after="40"/>
      </w:pPr>
      <w:r>
        <w:t xml:space="preserve">• </w:t>
      </w:r>
      <w:r>
        <w:t xml:space="preserve">strong resistance to drinking plain water;</w:t>
      </w:r>
    </w:p>
    <w:p>
      <w:pPr>
        <w:ind w:left="720" w:hanging="180"/>
        <w:spacing w:after="40"/>
      </w:pPr>
      <w:r>
        <w:t xml:space="preserve">• </w:t>
      </w:r>
      <w:r>
        <w:t xml:space="preserve">preference or perceived need for water with added salt;</w:t>
      </w:r>
    </w:p>
    <w:p>
      <w:pPr>
        <w:ind w:left="720" w:hanging="180"/>
        <w:spacing w:after="40"/>
      </w:pPr>
      <w:r>
        <w:t xml:space="preserve">• </w:t>
      </w:r>
      <w:r>
        <w:t xml:space="preserve">brief head-heaviness or dizziness.</w:t>
      </w:r>
    </w:p>
    <w:p>
      <w:pPr>
        <w:ind w:left="360" w:hanging="180"/>
        <w:spacing w:after="40"/>
      </w:pPr>
      <w:r>
        <w:t xml:space="preserve">• </w:t>
      </w:r>
      <w:r>
        <w:t xml:space="preserve">A GP consultation took place on Monday 13 July and blood tests were arranged.</w:t>
      </w:r>
    </w:p>
    <w:p>
      <w:pPr>
        <w:ind w:left="360" w:hanging="180"/>
        <w:spacing w:after="40"/>
      </w:pPr>
      <w:r>
        <w:t xml:space="preserve">• </w:t>
      </w:r>
      <w:r>
        <w:t xml:space="preserve">The recurrent right-hand skin problem was separately assessed and treated with </w:t>
      </w:r>
      <w:r>
        <w:rPr>
          <w:b/>
        </w:rPr>
        <w:t xml:space="preserve">Fucibet</w:t>
      </w:r>
      <w:r>
        <w:t xml:space="preserve"> during July.</w:t>
      </w:r>
    </w:p>
    <w:p>
      <w:pPr>
        <w:ind w:left="360" w:hanging="180"/>
        <w:spacing w:after="40"/>
      </w:pPr>
      <w:r>
        <w:t xml:space="preserve">• </w:t>
      </w:r>
      <w:r>
        <w:t xml:space="preserve">By Thursday 16 July, a new right upper-limb functional problem had become clearly apparent when the patient found that the right hand could no longer lift the same frying pan that had previously been lifted one-handed without difficulty.</w:t>
      </w:r>
    </w:p>
    <w:p>
      <w:pPr>
        <w:ind w:left="360" w:hanging="180"/>
        <w:spacing w:after="40"/>
      </w:pPr>
      <w:r>
        <w:t xml:space="preserve">• </w:t>
      </w:r>
      <w:r>
        <w:t xml:space="preserve">There was no pain during that lifting attempt.</w:t>
      </w:r>
    </w:p>
    <w:p>
      <w:pPr>
        <w:ind w:left="360" w:hanging="180"/>
        <w:spacing w:after="40"/>
      </w:pPr>
      <w:r>
        <w:t xml:space="preserve">• </w:t>
      </w:r>
      <w:r>
        <w:t xml:space="preserve">Opening food packaging also became more difficult.</w:t>
      </w:r>
    </w:p>
    <w:p>
      <w:pPr>
        <w:ind w:left="360" w:hanging="180"/>
        <w:spacing w:after="40"/>
      </w:pPr>
      <w:r>
        <w:t xml:space="preserve">• </w:t>
      </w:r>
      <w:r>
        <w:t xml:space="preserve">The left hand remained substantially stronger.</w:t>
      </w:r>
    </w:p>
    <w:p>
      <w:pPr>
        <w:ind w:left="360" w:hanging="180"/>
        <w:spacing w:after="40"/>
      </w:pPr>
      <w:r>
        <w:t xml:space="preserve">• </w:t>
      </w:r>
      <w:r>
        <w:t xml:space="preserve">The patient later attended an Urgent Treatment Centre because the right upper-limb problem remained concerning.</w:t>
      </w:r>
    </w:p>
    <w:p>
      <w:pPr>
        <w:ind w:left="360" w:hanging="180"/>
        <w:spacing w:after="40"/>
      </w:pPr>
      <w:r>
        <w:t xml:space="preserve">• </w:t>
      </w:r>
      <w:r>
        <w:t xml:space="preserve">The UTC arranged review through a separate Sunday GP service.</w:t>
      </w:r>
    </w:p>
    <w:p>
      <w:pPr>
        <w:ind w:left="360" w:hanging="180"/>
        <w:spacing w:after="40"/>
      </w:pPr>
      <w:r>
        <w:t xml:space="preserve">• </w:t>
      </w:r>
      <w:r>
        <w:t xml:space="preserve">The Sunday GP assessed the right hand and arm and advised physiotherapy / MSK follow-up.</w:t>
      </w:r>
    </w:p>
    <w:p>
      <w:r>
        <w:t xml:space="preserve"/>
      </w:r>
    </w:p>
    <w:p>
      <w:r>
        <w:t xml:space="preserve">The timing of the July events is preserved because several symptom groups became active within a relatively short period. No causal relationship between the MSK exercise programme, skin changes, systemic symptoms, or right upper-limb problem is assumed.</w:t>
      </w:r>
    </w:p>
    <w:p>
      <w:r>
        <w:t xml:space="preserve"/>
      </w:r>
    </w:p>
    <w:p>
      <w:r>
        <w:t xml:space="preserve">Detailed records:</w:t>
      </w:r>
    </w:p>
    <w:p>
      <w:r>
        <w:t xml:space="preserve"/>
      </w:r>
    </w:p>
    <w:p>
      <w:pPr>
        <w:ind w:left="360" w:hanging="180"/>
        <w:spacing w:after="40"/>
      </w:pPr>
      <w:r>
        <w:t xml:space="preserve">• </w:t>
      </w:r>
      <w:r>
        <w:rPr>
          <w:b/>
        </w:rPr>
        <w:t xml:space="preserve">Excessive Thirst, Increased Urination and Salt Craving Record</w:t>
      </w:r>
    </w:p>
    <w:p>
      <w:pPr>
        <w:ind w:left="360" w:hanging="180"/>
        <w:spacing w:after="40"/>
      </w:pPr>
      <w:r>
        <w:t xml:space="preserve">• </w:t>
      </w:r>
      <w:r>
        <w:rPr>
          <w:b/>
        </w:rPr>
        <w:t xml:space="preserve">Recurrent Hand Skin Changes and Suspected Naproxen Medicine Reaction Record</w:t>
      </w:r>
    </w:p>
    <w:p>
      <w:pPr>
        <w:ind w:left="360" w:hanging="180"/>
        <w:spacing w:after="40"/>
      </w:pPr>
      <w:r>
        <w:t xml:space="preserve">• </w:t>
      </w:r>
      <w:r>
        <w:rPr>
          <w:b/>
        </w:rPr>
        <w:t xml:space="preserve">Right Upper-Limb Symptoms and Referral Background</w:t>
      </w:r>
    </w:p>
    <w:p>
      <w:r>
        <w:t xml:space="preserve"/>
      </w:r>
    </w:p>
    <w:p>
      <w:pPr>
        <w:spacing w:before="120" w:after="80"/>
      </w:pPr>
      <w:bookmarkStart w:id="9" w:name="phase_5_late_july_to_august_2026_gastroi"/>
      <w:r>
        <w:rPr>
          <w:b/>
          <w:sz w:val="32"/>
          <w:szCs w:val="32"/>
        </w:rPr>
        <w:t xml:space="preserve">Phase 5 – late July to August 2026: gastrointestinal episode, skin-treatment strategy, and relative stabilisation</w:t>
      </w:r>
      <w:bookmarkEnd w:id="9"/>
    </w:p>
    <w:p>
      <w:r>
        <w:t xml:space="preserve"/>
      </w:r>
    </w:p>
    <w:p>
      <w:r>
        <w:t xml:space="preserve">Key events:</w:t>
      </w:r>
    </w:p>
    <w:p>
      <w:r>
        <w:t xml:space="preserve"/>
      </w:r>
    </w:p>
    <w:p>
      <w:pPr>
        <w:ind w:left="360" w:hanging="180"/>
        <w:spacing w:after="40"/>
      </w:pPr>
      <w:r>
        <w:t xml:space="preserve">• </w:t>
      </w:r>
      <w:r>
        <w:t xml:space="preserve">From Sunday 26 July, a short gastrointestinal episode developed.</w:t>
      </w:r>
    </w:p>
    <w:p>
      <w:pPr>
        <w:ind w:left="360" w:hanging="180"/>
        <w:spacing w:after="40"/>
      </w:pPr>
      <w:r>
        <w:t xml:space="preserve">• </w:t>
      </w:r>
      <w:r>
        <w:t xml:space="preserve">Completely watery diarrhoea occurred on Tuesday 28 and Wednesday 29 July and then resolved.</w:t>
      </w:r>
    </w:p>
    <w:p>
      <w:pPr>
        <w:ind w:left="360" w:hanging="180"/>
        <w:spacing w:after="40"/>
      </w:pPr>
      <w:r>
        <w:t xml:space="preserve">• </w:t>
      </w:r>
      <w:r>
        <w:t xml:space="preserve">Oral rehydration solution was used during this period.</w:t>
      </w:r>
    </w:p>
    <w:p>
      <w:pPr>
        <w:ind w:left="360" w:hanging="180"/>
        <w:spacing w:after="40"/>
      </w:pPr>
      <w:r>
        <w:t xml:space="preserve">• </w:t>
      </w:r>
      <w:r>
        <w:t xml:space="preserve">By early August, the thirst, increased urination, and salt-preference symptoms had become broadly stable, while the gastrointestinal episode had resolved, with no major new change requiring separate documentation.</w:t>
      </w:r>
    </w:p>
    <w:p>
      <w:pPr>
        <w:ind w:left="360" w:hanging="180"/>
        <w:spacing w:after="40"/>
      </w:pPr>
      <w:r>
        <w:t xml:space="preserve">• </w:t>
      </w:r>
      <w:r>
        <w:t xml:space="preserve">On Thursday 6 August, the treatment strategy for the recurrent right-hand skin problem was changed to a structured </w:t>
      </w:r>
      <w:r>
        <w:rPr>
          <w:b/>
        </w:rPr>
        <w:t xml:space="preserve">eight-week tapering course of Elocon 0.1% ointment</w:t>
      </w:r>
      <w:r>
        <w:t xml:space="preserve">.</w:t>
      </w:r>
    </w:p>
    <w:p>
      <w:pPr>
        <w:ind w:left="360" w:hanging="180"/>
        <w:spacing w:after="40"/>
      </w:pPr>
      <w:r>
        <w:t xml:space="preserve">• </w:t>
      </w:r>
      <w:r>
        <w:t xml:space="preserve">The tapering course remained in progress into September.</w:t>
      </w:r>
    </w:p>
    <w:p>
      <w:pPr>
        <w:ind w:left="360" w:hanging="180"/>
        <w:spacing w:after="40"/>
      </w:pPr>
      <w:r>
        <w:t xml:space="preserve">• </w:t>
      </w:r>
      <w:r>
        <w:t xml:space="preserve">No major new deterioration of the skin condition was recorded during the treatment period.</w:t>
      </w:r>
    </w:p>
    <w:p>
      <w:pPr>
        <w:ind w:left="360" w:hanging="180"/>
        <w:spacing w:after="40"/>
      </w:pPr>
      <w:r>
        <w:t xml:space="preserve">• </w:t>
      </w:r>
      <w:r>
        <w:t xml:space="preserve">Right-hand weakness and right shoulder-blade / neck symptoms remained present.</w:t>
      </w:r>
    </w:p>
    <w:p>
      <w:r>
        <w:t xml:space="preserve"/>
      </w:r>
    </w:p>
    <w:p>
      <w:r>
        <w:t xml:space="preserve">Detailed records:</w:t>
      </w:r>
    </w:p>
    <w:p>
      <w:r>
        <w:t xml:space="preserve"/>
      </w:r>
    </w:p>
    <w:p>
      <w:pPr>
        <w:ind w:left="360" w:hanging="180"/>
        <w:spacing w:after="40"/>
      </w:pPr>
      <w:r>
        <w:t xml:space="preserve">• </w:t>
      </w:r>
      <w:r>
        <w:rPr>
          <w:b/>
        </w:rPr>
        <w:t xml:space="preserve">Excessive Thirst, Increased Urination and Salt Craving Record</w:t>
      </w:r>
    </w:p>
    <w:p>
      <w:pPr>
        <w:ind w:left="360" w:hanging="180"/>
        <w:spacing w:after="40"/>
      </w:pPr>
      <w:r>
        <w:t xml:space="preserve">• </w:t>
      </w:r>
      <w:r>
        <w:rPr>
          <w:b/>
        </w:rPr>
        <w:t xml:space="preserve">Recurrent Hand Skin Changes and Suspected Naproxen Medicine Reaction Record</w:t>
      </w:r>
    </w:p>
    <w:p>
      <w:pPr>
        <w:ind w:left="360" w:hanging="180"/>
        <w:spacing w:after="40"/>
      </w:pPr>
      <w:r>
        <w:t xml:space="preserve">• </w:t>
      </w:r>
      <w:r>
        <w:rPr>
          <w:b/>
        </w:rPr>
        <w:t xml:space="preserve">Right Upper-Limb Symptoms and Referral Background</w:t>
      </w:r>
    </w:p>
    <w:p>
      <w:r>
        <w:t xml:space="preserve"/>
      </w:r>
    </w:p>
    <w:p>
      <w:pPr>
        <w:spacing w:before="120" w:after="80"/>
      </w:pPr>
      <w:bookmarkStart w:id="10" w:name="phase_6_september_2026_further_lower_lim"/>
      <w:r>
        <w:rPr>
          <w:b/>
          <w:sz w:val="32"/>
          <w:szCs w:val="32"/>
        </w:rPr>
        <w:t xml:space="preserve">Phase 6 – September 2026: further lower-limb MSK assessment and right upper-limb FCP assessment</w:t>
      </w:r>
      <w:bookmarkEnd w:id="10"/>
    </w:p>
    <w:p>
      <w:r>
        <w:t xml:space="preserve"/>
      </w:r>
    </w:p>
    <w:p>
      <w:r>
        <w:t xml:space="preserve">Key events:</w:t>
      </w:r>
    </w:p>
    <w:p>
      <w:r>
        <w:t xml:space="preserve"/>
      </w:r>
    </w:p>
    <w:p>
      <w:pPr>
        <w:ind w:left="360" w:hanging="180"/>
        <w:spacing w:after="40"/>
      </w:pPr>
      <w:r>
        <w:t xml:space="preserve">• </w:t>
      </w:r>
      <w:r>
        <w:t xml:space="preserve">On Thursday 3 September, a further MSK assessment was completed for the continuing lower-limb problem.</w:t>
      </w:r>
    </w:p>
    <w:p>
      <w:pPr>
        <w:ind w:left="360" w:hanging="180"/>
        <w:spacing w:after="40"/>
      </w:pPr>
      <w:r>
        <w:t xml:space="preserve">• </w:t>
      </w:r>
      <w:r>
        <w:t xml:space="preserve">The clinician performed a range of physical and functional tests.</w:t>
      </w:r>
    </w:p>
    <w:p>
      <w:pPr>
        <w:ind w:left="360" w:hanging="180"/>
        <w:spacing w:after="40"/>
      </w:pPr>
      <w:r>
        <w:t xml:space="preserve">• </w:t>
      </w:r>
      <w:r>
        <w:t xml:space="preserve">The patient recalls that most difficulty during testing appeared to relate to inability to complete movements rather than pain, although one test did reproduce knee pain.</w:t>
      </w:r>
    </w:p>
    <w:p>
      <w:pPr>
        <w:ind w:left="360" w:hanging="180"/>
        <w:spacing w:after="40"/>
      </w:pPr>
      <w:r>
        <w:t xml:space="preserve">• </w:t>
      </w:r>
      <w:r>
        <w:t xml:space="preserve">The detailed examination findings are expected to be preserved in the MSK clinical record.</w:t>
      </w:r>
    </w:p>
    <w:p>
      <w:pPr>
        <w:ind w:left="360" w:hanging="180"/>
        <w:spacing w:after="40"/>
      </w:pPr>
      <w:r>
        <w:t xml:space="preserve">• </w:t>
      </w:r>
      <w:r>
        <w:t xml:space="preserve">At the time this patient-prepared summary was reviewed, the patient had not located a copy of the detailed 3 September MSK / Dynamic Health assessment record in the NHS App. This does not establish whether a separate provider record exists.</w:t>
      </w:r>
    </w:p>
    <w:p>
      <w:pPr>
        <w:ind w:left="360" w:hanging="180"/>
        <w:spacing w:after="40"/>
      </w:pPr>
      <w:r>
        <w:t xml:space="preserve">• </w:t>
      </w:r>
      <w:r>
        <w:t xml:space="preserve">Following the assessment, the patient was advised that they would be placed on a waiting list for one-to-one gym-based rehabilitation at the hospital.</w:t>
      </w:r>
    </w:p>
    <w:p>
      <w:pPr>
        <w:ind w:left="360" w:hanging="180"/>
        <w:spacing w:after="40"/>
      </w:pPr>
      <w:r>
        <w:t xml:space="preserve">• </w:t>
      </w:r>
      <w:r>
        <w:t xml:space="preserve">The right upper-limb problem was not assessed within the same MSK appointment.</w:t>
      </w:r>
    </w:p>
    <w:p>
      <w:pPr>
        <w:ind w:left="360" w:hanging="180"/>
        <w:spacing w:after="40"/>
      </w:pPr>
      <w:r>
        <w:t xml:space="preserve">• </w:t>
      </w:r>
      <w:r>
        <w:t xml:space="preserve">MSK advised the patient to make a separate self-referral for the right upper-limb problem.</w:t>
      </w:r>
    </w:p>
    <w:p>
      <w:pPr>
        <w:ind w:left="360" w:hanging="180"/>
        <w:spacing w:after="40"/>
      </w:pPr>
      <w:r>
        <w:t xml:space="preserve">• </w:t>
      </w:r>
      <w:r>
        <w:t xml:space="preserve">The online physiotherapy self-referral screening did not accept the problem through the routine pathway after persistent weakness, altered sensation, and neck / upper-limb symptoms were reported.</w:t>
      </w:r>
    </w:p>
    <w:p>
      <w:pPr>
        <w:ind w:left="360" w:hanging="180"/>
        <w:spacing w:after="40"/>
      </w:pPr>
      <w:r>
        <w:t xml:space="preserve">• </w:t>
      </w:r>
      <w:r>
        <w:t xml:space="preserve">The patient was advised to seek further assessment through the GP practice / FCP pathway.</w:t>
      </w:r>
    </w:p>
    <w:p>
      <w:pPr>
        <w:ind w:left="360" w:hanging="180"/>
        <w:spacing w:after="40"/>
      </w:pPr>
      <w:r>
        <w:t xml:space="preserve">• </w:t>
      </w:r>
      <w:r>
        <w:t xml:space="preserve">Persistent right-hand weakness remained the main upper-limb functional concern, including reduced grip and inability to lift the same frying pan that had previously been lifted one-handed.</w:t>
      </w:r>
    </w:p>
    <w:p>
      <w:pPr>
        <w:ind w:left="360" w:hanging="180"/>
        <w:spacing w:after="40"/>
      </w:pPr>
      <w:r>
        <w:t xml:space="preserve">• </w:t>
      </w:r>
      <w:r>
        <w:t xml:space="preserve">A subsequent FCP assessment recorded a working impression of </w:t>
      </w:r>
      <w:r>
        <w:rPr>
          <w:b/>
        </w:rPr>
        <w:t xml:space="preserve">posterior mechanical cervical-spine pain with right rotator-cuff-related shoulder pain</w:t>
      </w:r>
      <w:r>
        <w:t xml:space="preserve">.</w:t>
      </w:r>
    </w:p>
    <w:p>
      <w:pPr>
        <w:ind w:left="360" w:hanging="180"/>
        <w:spacing w:after="40"/>
      </w:pPr>
      <w:r>
        <w:t xml:space="preserve">• </w:t>
      </w:r>
      <w:r>
        <w:t xml:space="preserve">The FCP also recorded neck / shoulder examination findings, including posterior neck pain with cervical movement, neck muscle strength of 4+, no scapular winging, and no abnormality detected on Spurling / Bakody testing.</w:t>
      </w:r>
    </w:p>
    <w:p>
      <w:pPr>
        <w:ind w:left="360" w:hanging="180"/>
        <w:spacing w:after="40"/>
      </w:pPr>
      <w:r>
        <w:t xml:space="preserve">• </w:t>
      </w:r>
      <w:r>
        <w:t xml:space="preserve">These findings provide a clinical assessment of the neck / shoulder component, but the precise cause of the continuing right-hand weakness remained unresolved.</w:t>
      </w:r>
    </w:p>
    <w:p>
      <w:r>
        <w:t xml:space="preserve"/>
      </w:r>
    </w:p>
    <w:p>
      <w:r>
        <w:t xml:space="preserve">Detailed records:</w:t>
      </w:r>
    </w:p>
    <w:p>
      <w:r>
        <w:t xml:space="preserve"/>
      </w:r>
    </w:p>
    <w:p>
      <w:pPr>
        <w:ind w:left="360" w:hanging="180"/>
        <w:spacing w:after="40"/>
      </w:pPr>
      <w:r>
        <w:t xml:space="preserve">• </w:t>
      </w:r>
      <w:r>
        <w:rPr>
          <w:b/>
        </w:rPr>
        <w:t xml:space="preserve">Knee and Lower-Limb History</w:t>
      </w:r>
    </w:p>
    <w:p>
      <w:pPr>
        <w:ind w:left="360" w:hanging="180"/>
        <w:spacing w:after="40"/>
      </w:pPr>
      <w:r>
        <w:t xml:space="preserve">• </w:t>
      </w:r>
      <w:r>
        <w:rPr>
          <w:b/>
        </w:rPr>
        <w:t xml:space="preserve">Right Upper-Limb Symptoms and Referral Background</w:t>
      </w:r>
    </w:p>
    <w:p>
      <w:r>
        <w:t xml:space="preserve"/>
      </w:r>
    </w:p>
    <w:p>
      <w:pPr>
        <w:spacing w:before="120" w:after="80"/>
      </w:pPr>
      <w:bookmarkStart w:id="11" w:name="questions_requests"/>
      <w:r>
        <w:rPr>
          <w:b/>
          <w:sz w:val="36"/>
          <w:szCs w:val="36"/>
        </w:rPr>
        <w:t xml:space="preserve">Questions / Requests</w:t>
      </w:r>
      <w:bookmarkEnd w:id="11"/>
    </w:p>
    <w:p>
      <w:r>
        <w:t xml:space="preserve"/>
      </w:r>
    </w:p>
    <w:p>
      <w:pPr>
        <w:ind w:left="360" w:hanging="180"/>
        <w:spacing w:after="40"/>
      </w:pPr>
      <w:r>
        <w:t xml:space="preserve">• </w:t>
      </w:r>
      <w:r>
        <w:t xml:space="preserve">Please consider the chronology and the periods in which different symptom groups overlapped in time.</w:t>
      </w:r>
    </w:p>
    <w:p>
      <w:pPr>
        <w:ind w:left="360" w:hanging="180"/>
        <w:spacing w:after="40"/>
      </w:pPr>
      <w:r>
        <w:t xml:space="preserve">• </w:t>
      </w:r>
      <w:r>
        <w:t xml:space="preserve">Please use the separate supporting records where more detailed clinical or functional information is required.</w:t>
      </w:r>
    </w:p>
    <w:p>
      <w:pPr>
        <w:ind w:left="360" w:hanging="180"/>
        <w:spacing w:after="40"/>
      </w:pPr>
      <w:r>
        <w:t xml:space="preserve">• </w:t>
      </w:r>
      <w:r>
        <w:t xml:space="preserve">The patient would appreciate clinical judgment on which parts of the history are relevant to any future specialist referral.</w:t>
      </w:r>
    </w:p>
    <w:p>
      <w:r>
        <w:t xml:space="preserve"/>
      </w:r>
    </w:p>
    <w:p>
      <w:pPr>
        <w:spacing w:before="120" w:after="80"/>
      </w:pPr>
      <w:bookmarkStart w:id="12" w:name="notes"/>
      <w:r>
        <w:rPr>
          <w:b/>
          <w:sz w:val="36"/>
          <w:szCs w:val="36"/>
        </w:rPr>
        <w:t xml:space="preserve">Notes</w:t>
      </w:r>
      <w:bookmarkEnd w:id="12"/>
    </w:p>
    <w:p>
      <w:r>
        <w:t xml:space="preserve"/>
      </w:r>
    </w:p>
    <w:p>
      <w:r>
        <w:t xml:space="preserve">Detailed supporting records currently include:</w:t>
      </w:r>
    </w:p>
    <w:p>
      <w:r>
        <w:t xml:space="preserve"/>
      </w:r>
    </w:p>
    <w:p>
      <w:pPr>
        <w:ind w:left="360" w:hanging="180"/>
        <w:spacing w:after="40"/>
      </w:pPr>
      <w:r>
        <w:t xml:space="preserve">• </w:t>
      </w:r>
      <w:r>
        <w:rPr>
          <w:b/>
        </w:rPr>
        <w:t xml:space="preserve">Knee and Lower-Limb History</w:t>
      </w:r>
    </w:p>
    <w:p>
      <w:pPr>
        <w:ind w:left="360" w:hanging="180"/>
        <w:spacing w:after="40"/>
      </w:pPr>
      <w:r>
        <w:t xml:space="preserve">• </w:t>
      </w:r>
      <w:r>
        <w:rPr>
          <w:b/>
        </w:rPr>
        <w:t xml:space="preserve">Lift Movement and Pain Synchronisation Record</w:t>
      </w:r>
    </w:p>
    <w:p>
      <w:pPr>
        <w:ind w:left="360" w:hanging="180"/>
        <w:spacing w:after="40"/>
      </w:pPr>
      <w:r>
        <w:t xml:space="preserve">• </w:t>
      </w:r>
      <w:r>
        <w:rPr>
          <w:b/>
        </w:rPr>
        <w:t xml:space="preserve">Excessive Thirst, Increased Urination and Salt Craving Record</w:t>
      </w:r>
    </w:p>
    <w:p>
      <w:pPr>
        <w:ind w:left="360" w:hanging="180"/>
        <w:spacing w:after="40"/>
      </w:pPr>
      <w:r>
        <w:t xml:space="preserve">• </w:t>
      </w:r>
      <w:r>
        <w:rPr>
          <w:b/>
        </w:rPr>
        <w:t xml:space="preserve">Recurrent Hand Skin Changes and Suspected Naproxen Medicine Reaction Record</w:t>
      </w:r>
    </w:p>
    <w:p>
      <w:pPr>
        <w:ind w:left="360" w:hanging="180"/>
        <w:spacing w:after="40"/>
      </w:pPr>
      <w:r>
        <w:t xml:space="preserve">• </w:t>
      </w:r>
      <w:r>
        <w:rPr>
          <w:b/>
        </w:rPr>
        <w:t xml:space="preserve">Right Upper-Limb Symptoms and Referral Background</w:t>
      </w:r>
    </w:p>
    <w:p>
      <w:r>
        <w:t xml:space="preserve"/>
      </w:r>
    </w:p>
    <w:p>
      <w:r>
        <w:t xml:space="preserve">This summary records chronology, new symptoms, new clinical findings, and major management decisions. It is not intended to replace GP, UTC, FCP, MSK, laboratory, or other NHS clinical records.</w:t>
      </w:r>
    </w:p>
    <w:p>
      <w:r>
        <w:t xml:space="preserve"/>
      </w:r>
    </w:p>
    <w:sectPr>
      <w:pgSz w:w="12240" w:h="15840"/>
      <w:pgMar w:top="1440" w:right="1440" w:bottom="1440" w:left="1440"/>
    </w:sectPr>
  </w:body>
</w:document>
</file>

<file path=word/_rels/document.xml.rels><?xml version="1.0" encoding="UTF-8" standalone="yes"?>
<Relationships
  xmlns="http://schemas.openxmlformats.org/package/2006/relationships"
>

</Relationships>
</file>