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detailed_dsd_clinical_background_and_fea"/>
      <w:r>
        <w:rPr>
          <w:b/>
          <w:sz w:val="40"/>
          <w:szCs w:val="40"/>
        </w:rPr>
        <w:t xml:space="preserve">Detailed DSD Clinical Background and Feature Cross-Reference</w:t>
      </w:r>
      <w:bookmarkEnd w:id="1"/>
    </w:p>
    <w:p>
      <w:r>
        <w:t xml:space="preserve"/>
      </w:r>
    </w:p>
    <w:p>
      <w:r>
        <w:t xml:space="preserve">Date: Friday 11 September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r>
        <w:t xml:space="preserve">This is a patient-prepared detailed supporting record containing personal DSD-related clinical background and feature cross-reference material.</w:t>
      </w:r>
    </w:p>
    <w:p>
      <w:r>
        <w:t xml:space="preserve"/>
      </w:r>
    </w:p>
    <w:p>
      <w:r>
        <w:t xml:space="preserve">It may be included with a referral if the GP considers it useful, but it is </w:t>
      </w:r>
      <w:r>
        <w:rPr>
          <w:b/>
        </w:rPr>
        <w:t xml:space="preserve">not intended to replace the formal referral letter, original NHS records, clinical examination findings, laboratory results, imaging, or specialist assessment</w:t>
      </w:r>
      <w:r>
        <w:t xml:space="preserve">.</w:t>
      </w:r>
    </w:p>
    <w:p>
      <w:r>
        <w:t xml:space="preserve"/>
      </w:r>
    </w:p>
    <w:p>
      <w:r>
        <w:t xml:space="preserve">The GP does not need to read the whole document and may use, shorten, correct, reword, omit, or replace any part according to clinical relevance.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is a patient-prepared detailed supporting record comparing documented or suspected personal features with the NHS / NHS England sources collected in the DSD reference source pool.</w:t>
      </w:r>
    </w:p>
    <w:p>
      <w:r>
        <w:t xml:space="preserve"/>
      </w:r>
    </w:p>
    <w:p>
      <w:r>
        <w:t xml:space="preserve">Evidence labels used: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A — Direct / objectively documented:</w:t>
      </w:r>
      <w:r>
        <w:t xml:space="preserve"> clinically recorded or formally measured.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Plausible / requires clinical confirmation:</w:t>
      </w:r>
      <w:r>
        <w:t xml:space="preserve"> a personal concern or observation appears potentially relevant, but no formal clinical confirmation is available.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Weak / nonspecific:</w:t>
      </w:r>
      <w:r>
        <w:t xml:space="preserve"> the observation may overlap with an official feature but is not specific enough to support DSD on its own.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established:</w:t>
      </w:r>
      <w:r>
        <w:t xml:space="preserve"> current information is insufficient to say the feature is present.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 / testable:</w:t>
      </w:r>
      <w:r>
        <w:t xml:space="preserve"> the feature cannot currently be classified from the available history and requires clinical assessment, testing, or clearer history.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Context — referral circumstance:</w:t>
      </w:r>
      <w:r>
        <w:t xml:space="preserve"> relevant background or presentation context rather than diagnostic evidence.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Testing pathway — specialist decision:</w:t>
      </w:r>
      <w:r>
        <w:t xml:space="preserve"> an NHS testing route that may become relevant if the clinical / biochemical picture supports it; not itself a personal feature.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Support pathway — management / service context:</w:t>
      </w:r>
      <w:r>
        <w:t xml:space="preserve"> support or management that may become relevant after specialist assessment; not diagnostic evidence.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Referral pathway — specialist destination decision:</w:t>
      </w:r>
      <w:r>
        <w:t xml:space="preserve"> service-navigation information rather than evidence for or against a diagnosis.</w:t>
      </w:r>
    </w:p>
    <w:p>
      <w:r>
        <w:t xml:space="preserve"/>
      </w:r>
    </w:p>
    <w:p>
      <w:r>
        <w:t xml:space="preserve">This document does not diagnose DSD and does not claim eligibility for any specific genomic test.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r>
        <w:t xml:space="preserve">Primary reference: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NHS DSD Reference Source Pool — Optional Background</w:t>
      </w:r>
    </w:p>
    <w:p>
      <w:r>
        <w:t xml:space="preserve"/>
      </w:r>
    </w:p>
    <w:p>
      <w:r>
        <w:t xml:space="preserve">Detailed personal records remain in their separate topic files and should be cross-referenced only where relevant.</w:t>
      </w:r>
    </w:p>
    <w:p>
      <w:r>
        <w:t xml:space="preserve"/>
      </w:r>
    </w:p>
    <w:p>
      <w:r>
        <w:t xml:space="preserve">The purpose of this document is to identify which features may be worth presenting to a GP or specialist for clinical confirmation.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r>
        <w:t xml:space="preserve"/>
      </w:r>
    </w:p>
    <w:p>
      <w:pPr>
        <w:spacing w:before="120" w:after="80"/>
      </w:pPr>
      <w:bookmarkStart w:id="5" w:name="section_1_core_dsd_overview_and_adult_pr"/>
      <w:r>
        <w:rPr>
          <w:b/>
          <w:sz w:val="32"/>
          <w:szCs w:val="32"/>
        </w:rPr>
        <w:t xml:space="preserve">1. Core DSD overview and adult presentation</w:t>
      </w:r>
      <w:bookmarkEnd w:id="5"/>
    </w:p>
    <w:p>
      <w:r>
        <w:t xml:space="preserve"/>
      </w:r>
    </w:p>
    <w:p>
      <w:pPr>
        <w:spacing w:before="120" w:after="80"/>
      </w:pPr>
      <w:bookmarkStart w:id="6" w:name="section_11_micropenis"/>
      <w:r>
        <w:rPr>
          <w:b/>
          <w:sz w:val="28"/>
          <w:szCs w:val="28"/>
        </w:rPr>
        <w:t xml:space="preserve">1.1 Micropenis</w:t>
      </w:r>
      <w:bookmarkEnd w:id="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/ requires clinical confirmation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penile size may be smaller than expected and may possibly overlap with the clinical concept of micropenis.</w:t>
      </w:r>
    </w:p>
    <w:p>
      <w:pPr>
        <w:ind w:left="360" w:hanging="180"/>
        <w:spacing w:after="40"/>
      </w:pPr>
      <w:r>
        <w:t xml:space="preserve">• </w:t>
      </w:r>
      <w:r>
        <w:t xml:space="preserve">No formal stretched penile length measurement has been performed.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a suspected developmental feature only.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formal stretched penile length measurement can be performed by a clinician.</w:t>
      </w:r>
    </w:p>
    <w:p>
      <w:r>
        <w:t xml:space="preserve"/>
      </w:r>
    </w:p>
    <w:p>
      <w:pPr>
        <w:spacing w:before="120" w:after="80"/>
      </w:pPr>
      <w:bookmarkStart w:id="7" w:name="section_12_low_testicular_volume_small_t"/>
      <w:r>
        <w:rPr>
          <w:b/>
          <w:sz w:val="28"/>
          <w:szCs w:val="28"/>
        </w:rPr>
        <w:t xml:space="preserve">1.2 Low testicular volume / small testes</w:t>
      </w:r>
      <w:bookmarkEnd w:id="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/ requires clinical confirmation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testicular size may be smaller than expected.</w:t>
      </w:r>
    </w:p>
    <w:p>
      <w:pPr>
        <w:ind w:left="360" w:hanging="180"/>
        <w:spacing w:after="40"/>
      </w:pPr>
      <w:r>
        <w:t xml:space="preserve">• </w:t>
      </w:r>
      <w:r>
        <w:t xml:space="preserve">No orchidometer measurement or ultrasound-based testicular volume has been recorded.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Testicular size cannot be reliably classified from visual estimation alone.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formal examination or measurement can establish whether testicular volume is reduced.</w:t>
      </w:r>
    </w:p>
    <w:p>
      <w:r>
        <w:t xml:space="preserve"/>
      </w:r>
    </w:p>
    <w:p>
      <w:pPr>
        <w:spacing w:before="120" w:after="80"/>
      </w:pPr>
      <w:bookmarkStart w:id="8" w:name="section_13_possible_abnormal_testicular_"/>
      <w:r>
        <w:rPr>
          <w:b/>
          <w:sz w:val="28"/>
          <w:szCs w:val="28"/>
        </w:rPr>
        <w:t xml:space="preserve">1.3 Possible abnormal testicular position</w:t>
      </w:r>
      <w:bookmarkEnd w:id="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historical or current abnormal testicular position; requires clinical clarification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does not know the testicular position at birth.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testicular position may not always have been typical.</w:t>
      </w:r>
    </w:p>
    <w:p>
      <w:pPr>
        <w:ind w:left="360" w:hanging="180"/>
        <w:spacing w:after="40"/>
      </w:pPr>
      <w:r>
        <w:t xml:space="preserve">• </w:t>
      </w:r>
      <w:r>
        <w:t xml:space="preserve">No childhood record, current examination, or imaging confirmation is presently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not be presented as confirmed cryptorchidism.</w:t>
      </w:r>
    </w:p>
    <w:p>
      <w:pPr>
        <w:ind w:left="360" w:hanging="180"/>
        <w:spacing w:after="40"/>
      </w:pPr>
      <w:r>
        <w:t xml:space="preserve">• </w:t>
      </w:r>
      <w:r>
        <w:t xml:space="preserve">Congenital undescended testes, later ascending testes, retractile testes, and normal variation have not been distinguished.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examination and review of any available historical records can clarify this.</w:t>
      </w:r>
    </w:p>
    <w:p>
      <w:r>
        <w:t xml:space="preserve"/>
      </w:r>
    </w:p>
    <w:p>
      <w:pPr>
        <w:spacing w:before="120" w:after="80"/>
      </w:pPr>
      <w:bookmarkStart w:id="9" w:name="section_14_hypospadias_chordee"/>
      <w:r>
        <w:rPr>
          <w:b/>
          <w:sz w:val="28"/>
          <w:szCs w:val="28"/>
        </w:rPr>
        <w:t xml:space="preserve">1.4 Hypospadias / chordee</w:t>
      </w:r>
      <w:bookmarkEnd w:id="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not currently able to identify whether hypospadias or chordee is present.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are anatomical findings and should not be self-classified without a clear anatomical observation or clinical examination.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direct examination is the appropriate method of confirmation.</w:t>
      </w:r>
    </w:p>
    <w:p>
      <w:r>
        <w:t xml:space="preserve"/>
      </w:r>
    </w:p>
    <w:p>
      <w:pPr>
        <w:spacing w:before="120" w:after="80"/>
      </w:pPr>
      <w:bookmarkStart w:id="10" w:name="section_15_failure_to_thrive"/>
      <w:r>
        <w:rPr>
          <w:b/>
          <w:sz w:val="28"/>
          <w:szCs w:val="28"/>
        </w:rPr>
        <w:t xml:space="preserve">1.5 Failure to thrive</w:t>
      </w:r>
      <w:bookmarkEnd w:id="1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No sufficiently specific childhood growth or weight record has yet been identified to establish failure to thrive.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unclaimed unless historical clinical records support it.</w:t>
      </w:r>
    </w:p>
    <w:p>
      <w:r>
        <w:t xml:space="preserve"/>
      </w:r>
    </w:p>
    <w:p>
      <w:pPr>
        <w:spacing w:before="120" w:after="80"/>
      </w:pPr>
      <w:bookmarkStart w:id="11" w:name="section_16_hyponatraemia_dehydration"/>
      <w:r>
        <w:rPr>
          <w:b/>
          <w:sz w:val="28"/>
          <w:szCs w:val="28"/>
        </w:rPr>
        <w:t xml:space="preserve">1.6 Hyponatraemia / dehydration</w:t>
      </w:r>
      <w:bookmarkEnd w:id="1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 separate July 2026 record documents marked thirst, increased urination, fatigue, salt preference and temporary use of oral rehydration solution.</w:t>
      </w:r>
    </w:p>
    <w:p>
      <w:pPr>
        <w:ind w:left="360" w:hanging="180"/>
        <w:spacing w:after="40"/>
      </w:pPr>
      <w:r>
        <w:t xml:space="preserve">• </w:t>
      </w:r>
      <w:r>
        <w:t xml:space="preserve">These observations do </w:t>
      </w:r>
      <w:r>
        <w:rPr>
          <w:b/>
        </w:rPr>
        <w:t xml:space="preserve">not</w:t>
      </w:r>
      <w:r>
        <w:t xml:space="preserve"> establish hyponatraemia or clinically diagnosed dehydration.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Do not convert salt preference, thirst or increased urination into an electrolyte diagnosis.</w:t>
      </w:r>
    </w:p>
    <w:p>
      <w:pPr>
        <w:ind w:left="360" w:hanging="180"/>
        <w:spacing w:after="40"/>
      </w:pPr>
      <w:r>
        <w:t xml:space="preserve">• </w:t>
      </w:r>
      <w:r>
        <w:t xml:space="preserve">Laboratory results would be required to establish hyponatraemia.</w:t>
      </w:r>
    </w:p>
    <w:p>
      <w:r>
        <w:t xml:space="preserve"/>
      </w:r>
    </w:p>
    <w:p>
      <w:r>
        <w:t xml:space="preserve">Cross-reference: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July 2026 Excessive Thirst, Increased Urination and Salt Craving Record</w:t>
      </w:r>
    </w:p>
    <w:p>
      <w:r>
        <w:t xml:space="preserve"/>
      </w:r>
    </w:p>
    <w:p>
      <w:pPr>
        <w:spacing w:before="120" w:after="80"/>
      </w:pPr>
      <w:bookmarkStart w:id="12" w:name="section_17_atypical_growth_pattern_statu"/>
      <w:r>
        <w:rPr>
          <w:b/>
          <w:sz w:val="28"/>
          <w:szCs w:val="28"/>
        </w:rPr>
        <w:t xml:space="preserve">1.7 Atypical growth pattern / stature</w:t>
      </w:r>
      <w:bookmarkEnd w:id="1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Turner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Previously clinically measured; exact values not currently available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 clinician previously measured arm span with both arms fully extended.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arm span was greater than standing height.</w:t>
      </w:r>
    </w:p>
    <w:p>
      <w:pPr>
        <w:ind w:left="360" w:hanging="180"/>
        <w:spacing w:after="40"/>
      </w:pPr>
      <w:r>
        <w:t xml:space="preserve">• </w:t>
      </w:r>
      <w:r>
        <w:t xml:space="preserve">Exact measurements and the clinician's formal interpretation are not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stronger than a purely visual self-observation because a clinical measurement was reportedly performed.</w:t>
      </w:r>
    </w:p>
    <w:p>
      <w:pPr>
        <w:ind w:left="360" w:hanging="180"/>
        <w:spacing w:after="40"/>
      </w:pPr>
      <w:r>
        <w:t xml:space="preserve">• </w:t>
      </w:r>
      <w:r>
        <w:t xml:space="preserve">It should not be treated as a fully documented objective finding until the exact measurement or clinical record is available.</w:t>
      </w:r>
    </w:p>
    <w:p>
      <w:r>
        <w:t xml:space="preserve"/>
      </w:r>
    </w:p>
    <w:p>
      <w:pPr>
        <w:spacing w:before="120" w:after="80"/>
      </w:pPr>
      <w:bookmarkStart w:id="13" w:name="section_18_gynaecomastia_breast_tissue"/>
      <w:r>
        <w:rPr>
          <w:b/>
          <w:sz w:val="28"/>
          <w:szCs w:val="28"/>
        </w:rPr>
        <w:t xml:space="preserve">1.8 Gynaecomastia / breast tissue</w:t>
      </w:r>
      <w:bookmarkEnd w:id="1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that breast tissue may be present.</w:t>
      </w:r>
    </w:p>
    <w:p>
      <w:pPr>
        <w:ind w:left="360" w:hanging="180"/>
        <w:spacing w:after="40"/>
      </w:pPr>
      <w:r>
        <w:t xml:space="preserve">• </w:t>
      </w:r>
      <w:r>
        <w:t xml:space="preserve">No formal clinical assessment confirming gynaecomastia is currently recorded.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alone cannot reliably distinguish glandular tissue from fat.</w:t>
      </w:r>
    </w:p>
    <w:p>
      <w:pPr>
        <w:ind w:left="360" w:hanging="180"/>
        <w:spacing w:after="40"/>
      </w:pPr>
      <w:r>
        <w:t xml:space="preserve">• </w:t>
      </w:r>
      <w:r>
        <w:t xml:space="preserve">Clinical inspection and palpation can assess whether gynaecomastia is present.</w:t>
      </w:r>
    </w:p>
    <w:p>
      <w:r>
        <w:t xml:space="preserve"/>
      </w:r>
    </w:p>
    <w:p>
      <w:pPr>
        <w:spacing w:before="120" w:after="80"/>
      </w:pPr>
      <w:bookmarkStart w:id="14" w:name="section_19_infertility"/>
      <w:r>
        <w:rPr>
          <w:b/>
          <w:sz w:val="28"/>
          <w:szCs w:val="28"/>
        </w:rPr>
        <w:t xml:space="preserve">1.9 Infertility</w:t>
      </w:r>
      <w:bookmarkEnd w:id="1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no current objective fertility assessment establishing infertility.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Fertility should remain unknown unless supported by reproductive history, semen analysis or other clinical evidence.</w:t>
      </w:r>
    </w:p>
    <w:p>
      <w:r>
        <w:t xml:space="preserve"/>
      </w:r>
    </w:p>
    <w:p>
      <w:pPr>
        <w:spacing w:before="120" w:after="80"/>
      </w:pPr>
      <w:bookmarkStart w:id="15" w:name="section_110_adult_first_presentation"/>
      <w:r>
        <w:rPr>
          <w:b/>
          <w:sz w:val="28"/>
          <w:szCs w:val="28"/>
        </w:rPr>
        <w:t xml:space="preserve">1.10 Adult first presentation</w:t>
      </w:r>
      <w:bookmarkEnd w:id="1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UCLH — Differences in Sex Development service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Context — Relevant referral circumstance</w:t>
      </w:r>
    </w:p>
    <w:p>
      <w:r>
        <w:t xml:space="preserve"/>
      </w:r>
    </w:p>
    <w:p>
      <w:r>
        <w:t xml:space="preserve">Current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present concern is being raised in adulthood without a previously established DSD diagnosis.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not evidence of a DSD diagnosis.</w:t>
      </w:r>
    </w:p>
    <w:p>
      <w:pPr>
        <w:ind w:left="360" w:hanging="180"/>
        <w:spacing w:after="40"/>
      </w:pPr>
      <w:r>
        <w:t xml:space="preserve">• </w:t>
      </w:r>
      <w:r>
        <w:t xml:space="preserve">It is relevant because NHS and specialist-service information recognises that DSD may first be investigated in adolescence or adulthood.</w:t>
      </w:r>
    </w:p>
    <w:p>
      <w:r>
        <w:t xml:space="preserve"/>
      </w:r>
    </w:p>
    <w:p>
      <w:pPr>
        <w:spacing w:before="120" w:after="80"/>
      </w:pPr>
      <w:bookmarkStart w:id="16" w:name="section_2_current_nhs_genomic_testing_ro"/>
      <w:r>
        <w:rPr>
          <w:b/>
          <w:sz w:val="32"/>
          <w:szCs w:val="32"/>
        </w:rPr>
        <w:t xml:space="preserve">2. Current NHS genomic testing routes</w:t>
      </w:r>
      <w:bookmarkEnd w:id="16"/>
    </w:p>
    <w:p>
      <w:r>
        <w:t xml:space="preserve"/>
      </w:r>
    </w:p>
    <w:p>
      <w:pPr>
        <w:spacing w:before="120" w:after="80"/>
      </w:pPr>
      <w:bookmarkStart w:id="17" w:name="section_21_r146_differences_in_sex_devel"/>
      <w:r>
        <w:rPr>
          <w:b/>
          <w:sz w:val="28"/>
          <w:szCs w:val="28"/>
        </w:rPr>
        <w:t xml:space="preserve">2.1 R146 — Differences in sex development</w:t>
      </w:r>
      <w:bookmarkEnd w:id="17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Not an eligibility claim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R146 should not be treated as a diagnosis or as proof that testing is required.</w:t>
      </w:r>
    </w:p>
    <w:p>
      <w:pPr>
        <w:ind w:left="360" w:hanging="180"/>
        <w:spacing w:after="40"/>
      </w:pPr>
      <w:r>
        <w:t xml:space="preserve">• </w:t>
      </w:r>
      <w:r>
        <w:t xml:space="preserve">The purpose of the present cross-reference is to identify clinical features that may justify specialist assessment.</w:t>
      </w:r>
    </w:p>
    <w:p>
      <w:pPr>
        <w:ind w:left="360" w:hanging="180"/>
        <w:spacing w:after="40"/>
      </w:pPr>
      <w:r>
        <w:t xml:space="preserve">• </w:t>
      </w:r>
      <w:r>
        <w:t xml:space="preserve">Whether R146 or any other genomic route is appropriate should be decided after clinical, chromosomal, biochemical and/or anatomical assessment as relevant.</w:t>
      </w:r>
    </w:p>
    <w:p>
      <w:r>
        <w:t xml:space="preserve"/>
      </w:r>
    </w:p>
    <w:p>
      <w:pPr>
        <w:spacing w:before="120" w:after="80"/>
      </w:pPr>
      <w:bookmarkStart w:id="18" w:name="section_22_r314_ambiguous_genitalia"/>
      <w:r>
        <w:rPr>
          <w:b/>
          <w:sz w:val="28"/>
          <w:szCs w:val="28"/>
        </w:rPr>
        <w:t xml:space="preserve">2.2 R314 — Ambiguous genitalia</w:t>
      </w:r>
      <w:bookmarkEnd w:id="18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Not established — requires professional anatomical assessment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present record does not establish that genital anatomy meets the clinical definition of ambiguous genitalia.</w:t>
      </w:r>
    </w:p>
    <w:p>
      <w:pPr>
        <w:ind w:left="360" w:hanging="180"/>
        <w:spacing w:after="40"/>
      </w:pPr>
      <w:r>
        <w:t xml:space="preserve">• </w:t>
      </w:r>
      <w:r>
        <w:t xml:space="preserve">Possible penile-size or anatomical concerns should be examined clinically rather than self-classified as R314 eligibility.</w:t>
      </w:r>
    </w:p>
    <w:p>
      <w:r>
        <w:t xml:space="preserve"/>
      </w:r>
    </w:p>
    <w:p>
      <w:pPr>
        <w:spacing w:before="120" w:after="80"/>
      </w:pPr>
      <w:bookmarkStart w:id="19" w:name="section_23_r468_possible_sex_chromosome_"/>
      <w:r>
        <w:rPr>
          <w:b/>
          <w:sz w:val="28"/>
          <w:szCs w:val="28"/>
        </w:rPr>
        <w:t xml:space="preserve">2.3 R468 — Possible sex chromosome aneuploidy or structural rearrangement</w:t>
      </w:r>
      <w:bookmarkEnd w:id="19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Not an eligibility claim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route becomes relevant when the clinical pattern creates suspicion of a sex-chromosome abnormality.</w:t>
      </w:r>
    </w:p>
    <w:p>
      <w:pPr>
        <w:ind w:left="360" w:hanging="180"/>
        <w:spacing w:after="40"/>
      </w:pPr>
      <w:r>
        <w:t xml:space="preserve">• </w:t>
      </w:r>
      <w:r>
        <w:t xml:space="preserve">No sex-chromosome abnormality is presently established.</w:t>
      </w:r>
    </w:p>
    <w:p>
      <w:r>
        <w:t xml:space="preserve"/>
      </w:r>
    </w:p>
    <w:p>
      <w:pPr>
        <w:spacing w:before="120" w:after="80"/>
      </w:pPr>
      <w:bookmarkStart w:id="20" w:name="section_3_puberty_hypogonadism_and_devel"/>
      <w:r>
        <w:rPr>
          <w:b/>
          <w:sz w:val="32"/>
          <w:szCs w:val="32"/>
        </w:rPr>
        <w:t xml:space="preserve">3. Puberty, hypogonadism and developmental features</w:t>
      </w:r>
      <w:bookmarkEnd w:id="20"/>
    </w:p>
    <w:p>
      <w:r>
        <w:t xml:space="preserve"/>
      </w:r>
    </w:p>
    <w:p>
      <w:pPr>
        <w:spacing w:before="120" w:after="80"/>
      </w:pPr>
      <w:bookmarkStart w:id="21" w:name="section_31_delayed_incomplete_or_absent_"/>
      <w:r>
        <w:rPr>
          <w:b/>
          <w:sz w:val="28"/>
          <w:szCs w:val="28"/>
        </w:rPr>
        <w:t xml:space="preserve">3.1 Delayed, incomplete or absent puberty</w:t>
      </w:r>
      <w:bookmarkEnd w:id="2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historical pattern requires review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current historical record is not sufficiently clear to establish delayed, absent or arrested puberty.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remains an important history question for a clinician and should remain unknown until the historical pattern is clarified.</w:t>
      </w:r>
    </w:p>
    <w:p>
      <w:r>
        <w:t xml:space="preserve"/>
      </w:r>
    </w:p>
    <w:p>
      <w:pPr>
        <w:spacing w:before="120" w:after="80"/>
      </w:pPr>
      <w:bookmarkStart w:id="22" w:name="section_32_lh_fsh_and_sex_hormone_patter"/>
      <w:r>
        <w:rPr>
          <w:b/>
          <w:sz w:val="28"/>
          <w:szCs w:val="28"/>
        </w:rPr>
        <w:t xml:space="preserve">3.2 LH / FSH and sex-hormone pattern</w:t>
      </w:r>
      <w:bookmarkEnd w:id="2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R148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laboratory assessment required</w:t>
      </w:r>
    </w:p>
    <w:p>
      <w:r>
        <w:t xml:space="preserve"/>
      </w:r>
    </w:p>
    <w:p>
      <w:r>
        <w:t xml:space="preserve">Current information:</w:t>
      </w:r>
    </w:p>
    <w:p>
      <w:pPr>
        <w:ind w:left="360" w:hanging="180"/>
        <w:spacing w:after="40"/>
      </w:pPr>
      <w:r>
        <w:t xml:space="preserve">• </w:t>
      </w:r>
      <w:r>
        <w:t xml:space="preserve">No confirmed pattern of low testosterone / oestradiol with low or inappropriately normal LH / FSH is currently recorded here.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a laboratory question and should remain unknown unless clinical testing establishes a relevant pattern.</w:t>
      </w:r>
    </w:p>
    <w:p>
      <w:r>
        <w:t xml:space="preserve"/>
      </w:r>
    </w:p>
    <w:p>
      <w:pPr>
        <w:spacing w:before="120" w:after="80"/>
      </w:pPr>
      <w:bookmarkStart w:id="23" w:name="section_33_anosmia_hyposmia"/>
      <w:r>
        <w:rPr>
          <w:b/>
          <w:sz w:val="28"/>
          <w:szCs w:val="28"/>
        </w:rPr>
        <w:t xml:space="preserve">3.3 Anosmia / hyposmia</w:t>
      </w:r>
      <w:bookmarkEnd w:id="2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subjective history unclear / formally assessable if relevant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cannot reliably determine whether sense of smell is reduced compared with normal.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Do not classify this as present or absent from self-comparison alone.</w:t>
      </w:r>
    </w:p>
    <w:p>
      <w:pPr>
        <w:ind w:left="360" w:hanging="180"/>
        <w:spacing w:after="40"/>
      </w:pPr>
      <w:r>
        <w:t xml:space="preserve">• </w:t>
      </w:r>
      <w:r>
        <w:t xml:space="preserve">Formal assessment can be considered if clinically relevant.</w:t>
      </w:r>
    </w:p>
    <w:p>
      <w:r>
        <w:t xml:space="preserve"/>
      </w:r>
    </w:p>
    <w:p>
      <w:pPr>
        <w:spacing w:before="120" w:after="80"/>
      </w:pPr>
      <w:bookmarkStart w:id="24" w:name="section_34_hypodontia_dental_development"/>
      <w:r>
        <w:rPr>
          <w:b/>
          <w:sz w:val="28"/>
          <w:szCs w:val="28"/>
        </w:rPr>
        <w:t xml:space="preserve">3.4 Hypodontia / dental-development background</w:t>
      </w:r>
      <w:bookmarkEnd w:id="2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Possible developmental background; hypodontia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Approximately 28 adult teeth are currently present.</w:t>
      </w:r>
    </w:p>
    <w:p>
      <w:pPr>
        <w:ind w:left="360" w:hanging="180"/>
        <w:spacing w:after="40"/>
      </w:pPr>
      <w:r>
        <w:t xml:space="preserve">• </w:t>
      </w:r>
      <w:r>
        <w:t xml:space="preserve">There is a recollection that tooth replacement may not have been complete at around age 12.</w:t>
      </w:r>
    </w:p>
    <w:p>
      <w:pPr>
        <w:ind w:left="360" w:hanging="180"/>
        <w:spacing w:after="40"/>
      </w:pPr>
      <w:r>
        <w:t xml:space="preserve">• </w:t>
      </w:r>
      <w:r>
        <w:t xml:space="preserve">Earlier drafts also noted uncertainty about eruption / arrangement.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Having 28 adult teeth does not by itself establish hypodontia.</w:t>
      </w:r>
    </w:p>
    <w:p>
      <w:pPr>
        <w:ind w:left="360" w:hanging="180"/>
        <w:spacing w:after="40"/>
      </w:pPr>
      <w:r>
        <w:t xml:space="preserve">• </w:t>
      </w:r>
      <w:r>
        <w:t xml:space="preserve">The observation should be treated as dental-development background only unless dental records or examination confirm congenitally missing teeth or another developmental abnormality.</w:t>
      </w:r>
    </w:p>
    <w:p>
      <w:r>
        <w:t xml:space="preserve"/>
      </w:r>
    </w:p>
    <w:p>
      <w:pPr>
        <w:spacing w:before="120" w:after="80"/>
      </w:pPr>
      <w:bookmarkStart w:id="25" w:name="section_35_joint_flexibility_possible_hy"/>
      <w:r>
        <w:rPr>
          <w:b/>
          <w:sz w:val="28"/>
          <w:szCs w:val="28"/>
        </w:rPr>
        <w:t xml:space="preserve">3.5 Joint flexibility / possible hypermobility background</w:t>
      </w:r>
      <w:bookmarkEnd w:id="25"/>
    </w:p>
    <w:p>
      <w:r>
        <w:t xml:space="preserve"/>
      </w:r>
    </w:p>
    <w:p>
      <w:r>
        <w:t xml:space="preserve">Reference context:</w:t>
      </w:r>
    </w:p>
    <w:p>
      <w:pPr>
        <w:ind w:left="360" w:hanging="180"/>
        <w:spacing w:after="40"/>
      </w:pPr>
      <w:r>
        <w:t xml:space="preserve">• </w:t>
      </w:r>
      <w:r>
        <w:t xml:space="preserve">NHS — Joint hypermobility syndrome</w:t>
      </w:r>
    </w:p>
    <w:p>
      <w:pPr>
        <w:ind w:left="360" w:hanging="180"/>
        <w:spacing w:after="40"/>
      </w:pPr>
      <w:r>
        <w:t xml:space="preserve">• </w:t>
      </w:r>
      <w:r>
        <w:t xml:space="preserve">Beighton-style joint hypermobility assessment references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Previously clinically assessed; exact findings not currently available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 clinician previously assessed joint flexibility, including finger movement / backward extension.</w:t>
      </w:r>
    </w:p>
    <w:p>
      <w:pPr>
        <w:ind w:left="360" w:hanging="180"/>
        <w:spacing w:after="40"/>
      </w:pPr>
      <w:r>
        <w:t xml:space="preserve">• </w:t>
      </w:r>
      <w:r>
        <w:t xml:space="preserve">The patient also recalls being asked about activities such as W-sitting.</w:t>
      </w:r>
    </w:p>
    <w:p>
      <w:pPr>
        <w:ind w:left="360" w:hanging="180"/>
        <w:spacing w:after="40"/>
      </w:pPr>
      <w:r>
        <w:t xml:space="preserve">• </w:t>
      </w:r>
      <w:r>
        <w:t xml:space="preserve">The exact Beighton score, formal interpretation, and full examination findings are not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should not be recorded as confirmed generalised joint hypermobility.</w:t>
      </w:r>
    </w:p>
    <w:p>
      <w:pPr>
        <w:ind w:left="360" w:hanging="180"/>
        <w:spacing w:after="40"/>
      </w:pPr>
      <w:r>
        <w:t xml:space="preserve">• </w:t>
      </w:r>
      <w:r>
        <w:t xml:space="preserve">W-sitting is not itself a standard Beighton criterion.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 repeat standardised joint-hypermobility assessment can be performed.</w:t>
      </w:r>
    </w:p>
    <w:p>
      <w:pPr>
        <w:ind w:left="360" w:hanging="180"/>
        <w:spacing w:after="40"/>
      </w:pPr>
      <w:r>
        <w:t xml:space="preserve">• </w:t>
      </w:r>
      <w:r>
        <w:t xml:space="preserve">This is adjacent musculoskeletal / developmental background rather than a core DSD feature.</w:t>
      </w:r>
    </w:p>
    <w:p>
      <w:r>
        <w:t xml:space="preserve"/>
      </w:r>
    </w:p>
    <w:p>
      <w:pPr>
        <w:spacing w:before="120" w:after="80"/>
      </w:pPr>
      <w:bookmarkStart w:id="26" w:name="section_4_klinefelter_syndrome_developme"/>
      <w:r>
        <w:rPr>
          <w:b/>
          <w:sz w:val="32"/>
          <w:szCs w:val="32"/>
        </w:rPr>
        <w:t xml:space="preserve">4. Klinefelter syndrome — developmental and functional features</w:t>
      </w:r>
      <w:bookmarkEnd w:id="26"/>
    </w:p>
    <w:p>
      <w:r>
        <w:t xml:space="preserve"/>
      </w:r>
    </w:p>
    <w:p>
      <w:pPr>
        <w:spacing w:before="120" w:after="80"/>
      </w:pPr>
      <w:bookmarkStart w:id="27" w:name="section_41_developmental_history"/>
      <w:r>
        <w:rPr>
          <w:b/>
          <w:sz w:val="28"/>
          <w:szCs w:val="28"/>
        </w:rPr>
        <w:t xml:space="preserve">4.1 Developmental history</w:t>
      </w:r>
      <w:bookmarkEnd w:id="2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C+ / possible historical supporting feature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Independent walking was approximately </w:t>
      </w:r>
      <w:r>
        <w:rPr>
          <w:b/>
        </w:rPr>
        <w:t xml:space="preserve">13 months</w:t>
      </w:r>
      <w:r>
        <w:t xml:space="preserve">, which does not currently suggest a clear motor delay.</w:t>
      </w:r>
    </w:p>
    <w:p>
      <w:pPr>
        <w:ind w:left="360" w:hanging="180"/>
        <w:spacing w:after="40"/>
      </w:pPr>
      <w:r>
        <w:t xml:space="preserve">• </w:t>
      </w:r>
      <w:r>
        <w:t xml:space="preserve">Family recalls that the patient </w:t>
      </w:r>
      <w:r>
        <w:rPr>
          <w:b/>
        </w:rPr>
        <w:t xml:space="preserve">spoke very little before approximately age 3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No contemporaneous childhood developmental record is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walking history does not currently add meaningful support.</w:t>
      </w:r>
    </w:p>
    <w:p>
      <w:pPr>
        <w:ind w:left="360" w:hanging="180"/>
        <w:spacing w:after="40"/>
      </w:pPr>
      <w:r>
        <w:t xml:space="preserve">• </w:t>
      </w:r>
      <w:r>
        <w:t xml:space="preserve">The speech / language history may represent delayed speech development, but the exact milestone and degree of delay cannot be established retrospectively from family recall alone.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a supporting developmental history rather than a confirmed developmental diagnosis.</w:t>
      </w:r>
    </w:p>
    <w:p>
      <w:r>
        <w:t xml:space="preserve"/>
      </w:r>
    </w:p>
    <w:p>
      <w:pPr>
        <w:spacing w:before="120" w:after="80"/>
      </w:pPr>
      <w:bookmarkStart w:id="28" w:name="section_42_reading_writing_spelling_atte"/>
      <w:r>
        <w:rPr>
          <w:b/>
          <w:sz w:val="28"/>
          <w:szCs w:val="28"/>
        </w:rPr>
        <w:t xml:space="preserve">4.2 Reading / writing / spelling / attention difficulties</w:t>
      </w:r>
      <w:bookmarkEnd w:id="2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Dyslexia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B/C — Present functional difficulty; formal diagnostic assessment incomplete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reports ongoing reading difficulty.</w:t>
      </w:r>
    </w:p>
    <w:p>
      <w:pPr>
        <w:ind w:left="360" w:hanging="180"/>
        <w:spacing w:after="40"/>
      </w:pPr>
      <w:r>
        <w:t xml:space="preserve">• </w:t>
      </w:r>
      <w:r>
        <w:t xml:space="preserve">An ADHD assessment pathway has begun and a questionnaire has been received for completion.</w:t>
      </w:r>
    </w:p>
    <w:p>
      <w:pPr>
        <w:ind w:left="360" w:hanging="180"/>
        <w:spacing w:after="40"/>
      </w:pPr>
      <w:r>
        <w:t xml:space="preserve">• </w:t>
      </w:r>
      <w:r>
        <w:t xml:space="preserve">Dyslexia has not been formally assessed and may be considered later, for example after returning to university.</w:t>
      </w:r>
    </w:p>
    <w:p>
      <w:pPr>
        <w:ind w:left="360" w:hanging="180"/>
        <w:spacing w:after="40"/>
      </w:pPr>
      <w:r>
        <w:t xml:space="preserve">• </w:t>
      </w:r>
      <w:r>
        <w:t xml:space="preserve">Writing / spelling difficulty should only be added as a specific feature if the patient later confirms it clearly.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Reading difficulty is a current patient-reported functional problem.</w:t>
      </w:r>
    </w:p>
    <w:p>
      <w:pPr>
        <w:ind w:left="360" w:hanging="180"/>
        <w:spacing w:after="40"/>
      </w:pPr>
      <w:r>
        <w:t xml:space="preserve">• </w:t>
      </w:r>
      <w:r>
        <w:t xml:space="preserve">Possible ADHD remains under assessment and is not yet a confirmed diagnosis.</w:t>
      </w:r>
    </w:p>
    <w:p>
      <w:pPr>
        <w:ind w:left="360" w:hanging="180"/>
        <w:spacing w:after="40"/>
      </w:pPr>
      <w:r>
        <w:t xml:space="preserve">• </w:t>
      </w:r>
      <w:r>
        <w:t xml:space="preserve">Dyslexia should not be recorded as diagnosed.</w:t>
      </w:r>
    </w:p>
    <w:p>
      <w:pPr>
        <w:ind w:left="360" w:hanging="180"/>
        <w:spacing w:after="40"/>
      </w:pPr>
      <w:r>
        <w:t xml:space="preserve">• </w:t>
      </w:r>
      <w:r>
        <w:t xml:space="preserve">These features are nonspecific and should only be used as supporting developmental context rather than as major DSD evidence.</w:t>
      </w:r>
    </w:p>
    <w:p>
      <w:r>
        <w:t xml:space="preserve"/>
      </w:r>
    </w:p>
    <w:p>
      <w:pPr>
        <w:spacing w:before="120" w:after="80"/>
      </w:pPr>
      <w:bookmarkStart w:id="29" w:name="section_43_low_energy"/>
      <w:r>
        <w:rPr>
          <w:b/>
          <w:sz w:val="28"/>
          <w:szCs w:val="28"/>
        </w:rPr>
        <w:t xml:space="preserve">4.3 Low energy</w:t>
      </w:r>
      <w:bookmarkEnd w:id="2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Present as a symptom, but nonspecific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has a history of significant fatigue / low-energy episodes.</w:t>
      </w:r>
    </w:p>
    <w:p>
      <w:pPr>
        <w:ind w:left="360" w:hanging="180"/>
        <w:spacing w:after="40"/>
      </w:pPr>
      <w:r>
        <w:t xml:space="preserve">• </w:t>
      </w:r>
      <w:r>
        <w:t xml:space="preserve">These episodes have occurred in the context of other health problems and are not specific to DSD.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Low energy is too nonspecific to carry substantial referral weight on its own.</w:t>
      </w:r>
    </w:p>
    <w:p>
      <w:r>
        <w:t xml:space="preserve"/>
      </w:r>
    </w:p>
    <w:p>
      <w:pPr>
        <w:spacing w:before="120" w:after="80"/>
      </w:pPr>
      <w:bookmarkStart w:id="30" w:name="section_44_tall_stature_long_limbs_body_"/>
      <w:r>
        <w:rPr>
          <w:b/>
          <w:sz w:val="28"/>
          <w:szCs w:val="28"/>
        </w:rPr>
        <w:t xml:space="preserve">4.4 Tall stature / long limbs / body proportions</w:t>
      </w:r>
      <w:bookmarkEnd w:id="3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Previously clinically measured; exact values not currently available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 clinician measured arm span with both arms extended.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that arm span was greater than standing height.</w:t>
      </w:r>
    </w:p>
    <w:p>
      <w:pPr>
        <w:ind w:left="360" w:hanging="180"/>
        <w:spacing w:after="40"/>
      </w:pPr>
      <w:r>
        <w:t xml:space="preserve">• </w:t>
      </w:r>
      <w:r>
        <w:t xml:space="preserve">Exact centimetre measurements and the clinician's formal interpretation are not currently available.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stronger than a purely visual self-observation because a clinical measurement was performed.</w:t>
      </w:r>
    </w:p>
    <w:p>
      <w:pPr>
        <w:ind w:left="360" w:hanging="180"/>
        <w:spacing w:after="40"/>
      </w:pPr>
      <w:r>
        <w:t xml:space="preserve">• </w:t>
      </w:r>
      <w:r>
        <w:t xml:space="preserve">It should not yet be treated as a fully documented objective finding until the exact measurement or clinical record is available.</w:t>
      </w:r>
    </w:p>
    <w:p>
      <w:r>
        <w:t xml:space="preserve"/>
      </w:r>
    </w:p>
    <w:p>
      <w:pPr>
        <w:spacing w:before="120" w:after="80"/>
      </w:pPr>
      <w:bookmarkStart w:id="31" w:name="section_45_broad_hips"/>
      <w:r>
        <w:rPr>
          <w:b/>
          <w:sz w:val="28"/>
          <w:szCs w:val="28"/>
        </w:rPr>
        <w:t xml:space="preserve">4.5 Broad hips</w:t>
      </w:r>
      <w:bookmarkEnd w:id="3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Possible but nonspecific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Broad hips may be visually apparent but are influenced by normal body-shape variation.</w:t>
      </w:r>
    </w:p>
    <w:p>
      <w:pPr>
        <w:ind w:left="360" w:hanging="180"/>
        <w:spacing w:after="40"/>
      </w:pPr>
      <w:r>
        <w:t xml:space="preserve">• </w:t>
      </w:r>
      <w:r>
        <w:t xml:space="preserve">No formal clinical body-proportion assessment confirming this feature is currently available.</w:t>
      </w:r>
    </w:p>
    <w:p>
      <w:pPr>
        <w:ind w:left="360" w:hanging="180"/>
        <w:spacing w:after="40"/>
      </w:pPr>
      <w:r>
        <w:t xml:space="preserve">• </w:t>
      </w:r>
      <w:r>
        <w:t xml:space="preserve">This should remain a minor supporting feature only.</w:t>
      </w:r>
    </w:p>
    <w:p>
      <w:r>
        <w:t xml:space="preserve"/>
      </w:r>
    </w:p>
    <w:p>
      <w:pPr>
        <w:spacing w:before="120" w:after="80"/>
      </w:pPr>
      <w:bookmarkStart w:id="32" w:name="section_46_poor_muscle_tone_slower_muscl"/>
      <w:r>
        <w:rPr>
          <w:b/>
          <w:sz w:val="28"/>
          <w:szCs w:val="28"/>
        </w:rPr>
        <w:t xml:space="preserve">4.6 Poor muscle tone / slower muscle growth</w:t>
      </w:r>
      <w:bookmarkEnd w:id="3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B/C — Clinically relevant strength / functional background; mechanism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Separate FCP / MSK records document lower-limb strength and functional difficulties, including previously recorded mild quadriceps weakness and continuing rehabilitation needs.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records establish a genuine musculoskeletal / functional issue.</w:t>
      </w:r>
    </w:p>
    <w:p>
      <w:pPr>
        <w:ind w:left="360" w:hanging="180"/>
        <w:spacing w:after="40"/>
      </w:pPr>
      <w:r>
        <w:t xml:space="preserve">• </w:t>
      </w:r>
      <w:r>
        <w:t xml:space="preserve">They do not establish that the problem represents Klinefelter-related poor muscle tone or reduced muscle development.</w:t>
      </w:r>
    </w:p>
    <w:p>
      <w:pPr>
        <w:ind w:left="360" w:hanging="180"/>
        <w:spacing w:after="40"/>
      </w:pPr>
      <w:r>
        <w:t xml:space="preserve">• </w:t>
      </w:r>
      <w:r>
        <w:t xml:space="preserve">Detailed lower-limb history should remain in the dedicated MSK record.</w:t>
      </w:r>
    </w:p>
    <w:p>
      <w:r>
        <w:t xml:space="preserve"/>
      </w:r>
    </w:p>
    <w:p>
      <w:pPr>
        <w:spacing w:before="120" w:after="80"/>
      </w:pPr>
      <w:bookmarkStart w:id="33" w:name="section_47_reduced_facial_body_hair"/>
      <w:r>
        <w:rPr>
          <w:b/>
          <w:sz w:val="28"/>
          <w:szCs w:val="28"/>
        </w:rPr>
        <w:t xml:space="preserve">4.7 Reduced facial / body hair</w:t>
      </w:r>
      <w:bookmarkEnd w:id="3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Natural hair pattern cannot now be assessed reliably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Regular shaving, grooming and IPL have altered the visible facial / body-hair pattern.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Current appearance should not be used to infer naturally reduced facial or body hair.</w:t>
      </w:r>
    </w:p>
    <w:p>
      <w:pPr>
        <w:ind w:left="360" w:hanging="180"/>
        <w:spacing w:after="40"/>
      </w:pPr>
      <w:r>
        <w:t xml:space="preserve">• </w:t>
      </w:r>
      <w:r>
        <w:t xml:space="preserve">No clinical assessment confirming reduced hair growth is available.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is unlikely to carry significant referral weight unless a clinician can establish a relevant historical or physical pattern.</w:t>
      </w:r>
    </w:p>
    <w:p>
      <w:r>
        <w:t xml:space="preserve"/>
      </w:r>
    </w:p>
    <w:p>
      <w:pPr>
        <w:spacing w:before="120" w:after="80"/>
      </w:pPr>
      <w:bookmarkStart w:id="34" w:name="section_48_small_firm_testes"/>
      <w:r>
        <w:rPr>
          <w:b/>
          <w:sz w:val="28"/>
          <w:szCs w:val="28"/>
        </w:rPr>
        <w:t xml:space="preserve">4.8 Small, firm testes</w:t>
      </w:r>
      <w:bookmarkEnd w:id="3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Small testes: B — Possible / requires clinical confirmation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Firm testes: 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Possible reduced testicular size has already been recorded under the general DSD section.</w:t>
      </w:r>
    </w:p>
    <w:p>
      <w:pPr>
        <w:ind w:left="360" w:hanging="180"/>
        <w:spacing w:after="40"/>
      </w:pPr>
      <w:r>
        <w:t xml:space="preserve">• </w:t>
      </w:r>
      <w:r>
        <w:t xml:space="preserve">Testicular volume can be assessed clinically using an orchidometer or ultrasound where relevant.</w:t>
      </w:r>
    </w:p>
    <w:p>
      <w:pPr>
        <w:ind w:left="360" w:hanging="180"/>
        <w:spacing w:after="40"/>
      </w:pPr>
      <w:r>
        <w:t xml:space="preserve">• </w:t>
      </w:r>
      <w:r>
        <w:t xml:space="preserve">Testicular firmness / consistency requires clinical palpation and should not be self-classified.</w:t>
      </w:r>
    </w:p>
    <w:p>
      <w:r>
        <w:t xml:space="preserve"/>
      </w:r>
    </w:p>
    <w:p>
      <w:pPr>
        <w:spacing w:before="120" w:after="80"/>
      </w:pPr>
      <w:bookmarkStart w:id="35" w:name="section_49_gynaecomastia"/>
      <w:r>
        <w:rPr>
          <w:b/>
          <w:sz w:val="28"/>
          <w:szCs w:val="28"/>
        </w:rPr>
        <w:t xml:space="preserve">4.9 Gynaecomastia</w:t>
      </w:r>
      <w:bookmarkEnd w:id="3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There is a personal concern about possible breast / chest tissue difference.</w:t>
      </w:r>
    </w:p>
    <w:p>
      <w:pPr>
        <w:ind w:left="360" w:hanging="180"/>
        <w:spacing w:after="40"/>
      </w:pPr>
      <w:r>
        <w:t xml:space="preserve">• </w:t>
      </w:r>
      <w:r>
        <w:t xml:space="preserve">No clinical examination has established glandular breast tissue.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or cup size cannot reliably distinguish glandular tissue from fat.</w:t>
      </w:r>
    </w:p>
    <w:p>
      <w:pPr>
        <w:ind w:left="360" w:hanging="180"/>
        <w:spacing w:after="40"/>
      </w:pPr>
      <w:r>
        <w:t xml:space="preserve">• </w:t>
      </w:r>
      <w:r>
        <w:t xml:space="preserve">Clinical examination, principally inspection and palpation, can assess whether gynaecomastia is present.</w:t>
      </w:r>
    </w:p>
    <w:p>
      <w:pPr>
        <w:ind w:left="360" w:hanging="180"/>
        <w:spacing w:after="40"/>
      </w:pPr>
      <w:r>
        <w:t xml:space="preserve">• </w:t>
      </w:r>
      <w:r>
        <w:t xml:space="preserve">Further imaging is only required if clinically indicated.</w:t>
      </w:r>
    </w:p>
    <w:p>
      <w:r>
        <w:t xml:space="preserve"/>
      </w:r>
    </w:p>
    <w:p>
      <w:pPr>
        <w:spacing w:before="120" w:after="80"/>
      </w:pPr>
      <w:bookmarkStart w:id="36" w:name="section_410_fertility_status"/>
      <w:r>
        <w:rPr>
          <w:b/>
          <w:sz w:val="28"/>
          <w:szCs w:val="28"/>
        </w:rPr>
        <w:t xml:space="preserve">4.10 Fertility status</w:t>
      </w:r>
      <w:bookmarkEnd w:id="3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Fertility cannot be inferred from appearance or from the current history.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assessment may include reproductive history, semen analysis and hormone testing.</w:t>
      </w:r>
    </w:p>
    <w:p>
      <w:pPr>
        <w:ind w:left="360" w:hanging="180"/>
        <w:spacing w:after="40"/>
      </w:pPr>
      <w:r>
        <w:t xml:space="preserve">• </w:t>
      </w:r>
      <w:r>
        <w:t xml:space="preserve">Infertility should not be recorded as present unless clinically established.</w:t>
      </w:r>
    </w:p>
    <w:p>
      <w:r>
        <w:t xml:space="preserve"/>
      </w:r>
    </w:p>
    <w:p>
      <w:pPr>
        <w:spacing w:before="120" w:after="80"/>
      </w:pPr>
      <w:bookmarkStart w:id="37" w:name="section_411_libido"/>
      <w:r>
        <w:rPr>
          <w:b/>
          <w:sz w:val="28"/>
          <w:szCs w:val="28"/>
        </w:rPr>
        <w:t xml:space="preserve">4.11 Libido</w:t>
      </w:r>
      <w:bookmarkEnd w:id="3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subjective history unclear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Libido is subjective and has many possible causes.</w:t>
      </w:r>
    </w:p>
    <w:p>
      <w:pPr>
        <w:ind w:left="360" w:hanging="180"/>
        <w:spacing w:after="40"/>
      </w:pPr>
      <w:r>
        <w:t xml:space="preserve">• </w:t>
      </w:r>
      <w:r>
        <w:t xml:space="preserve">No single test establishes low libido.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 clinician can review sexual history alongside hormone status, medication, mood, sleep and general health.</w:t>
      </w:r>
    </w:p>
    <w:p>
      <w:r>
        <w:t xml:space="preserve"/>
      </w:r>
    </w:p>
    <w:p>
      <w:pPr>
        <w:spacing w:before="120" w:after="80"/>
      </w:pPr>
      <w:bookmarkStart w:id="38" w:name="section_412_erectile_function"/>
      <w:r>
        <w:rPr>
          <w:b/>
          <w:sz w:val="28"/>
          <w:szCs w:val="28"/>
        </w:rPr>
        <w:t xml:space="preserve">4.12 Erectile function</w:t>
      </w:r>
      <w:bookmarkEnd w:id="3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Klinefelter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history requires clarification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Erectile difficulty generally refers to recurrent difficulty obtaining or maintaining an erection when desired.</w:t>
      </w:r>
    </w:p>
    <w:p>
      <w:pPr>
        <w:ind w:left="360" w:hanging="180"/>
        <w:spacing w:after="40"/>
      </w:pPr>
      <w:r>
        <w:t xml:space="preserve">• </w:t>
      </w:r>
      <w:r>
        <w:t xml:space="preserve">The present record is not sufficiently clear to classify this as present or absent.</w:t>
      </w:r>
    </w:p>
    <w:p>
      <w:pPr>
        <w:ind w:left="360" w:hanging="180"/>
        <w:spacing w:after="40"/>
      </w:pPr>
      <w:r>
        <w:t xml:space="preserve">• </w:t>
      </w:r>
      <w:r>
        <w:t xml:space="preserve">If relevant, this can be clarified through clinical history and assessment.</w:t>
      </w:r>
    </w:p>
    <w:p>
      <w:r>
        <w:t xml:space="preserve"/>
      </w:r>
    </w:p>
    <w:p>
      <w:pPr>
        <w:spacing w:before="120" w:after="80"/>
      </w:pPr>
      <w:bookmarkStart w:id="39" w:name="section_5_androgen_insensitivity_syndrom"/>
      <w:r>
        <w:rPr>
          <w:b/>
          <w:sz w:val="32"/>
          <w:szCs w:val="32"/>
        </w:rPr>
        <w:t xml:space="preserve">5. Androgen insensitivity syndrome (AIS / CAIS / PAIS)</w:t>
      </w:r>
      <w:bookmarkEnd w:id="39"/>
    </w:p>
    <w:p>
      <w:r>
        <w:t xml:space="preserve"/>
      </w:r>
    </w:p>
    <w:p>
      <w:pPr>
        <w:spacing w:before="120" w:after="80"/>
      </w:pPr>
      <w:bookmarkStart w:id="40" w:name="section_51_overall_genital_development"/>
      <w:r>
        <w:rPr>
          <w:b/>
          <w:sz w:val="28"/>
          <w:szCs w:val="28"/>
        </w:rPr>
        <w:t xml:space="preserve">5.1 Overall genital development</w:t>
      </w:r>
      <w:bookmarkEnd w:id="4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specialist anatomical assessment required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cannot reliably determine whether external genital development meets any clinical definition relevant to AIS / PAIS / CAIS.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alone should not be used to self-classify CAIS or PAIS.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specialist assessment may include physical examination, chromosome testing, hormone testing, genetic testing and imaging.</w:t>
      </w:r>
    </w:p>
    <w:p>
      <w:r>
        <w:t xml:space="preserve"/>
      </w:r>
    </w:p>
    <w:p>
      <w:pPr>
        <w:spacing w:before="120" w:after="80"/>
      </w:pPr>
      <w:bookmarkStart w:id="41" w:name="section_52_undescended_partially_undesce"/>
      <w:r>
        <w:rPr>
          <w:b/>
          <w:sz w:val="28"/>
          <w:szCs w:val="28"/>
        </w:rPr>
        <w:t xml:space="preserve">5.2 Undescended / partially undescended testes</w:t>
      </w:r>
      <w:bookmarkEnd w:id="4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abnormal testicular position; requires clinical clarification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the same feature already reviewed under the general DSD section.</w:t>
      </w:r>
    </w:p>
    <w:p>
      <w:pPr>
        <w:ind w:left="360" w:hanging="180"/>
        <w:spacing w:after="40"/>
      </w:pPr>
      <w:r>
        <w:t xml:space="preserve">• </w:t>
      </w:r>
      <w:r>
        <w:t xml:space="preserve">The current record does not establish congenital undescended testes, ascending testes or retractile testes.</w:t>
      </w:r>
    </w:p>
    <w:p>
      <w:pPr>
        <w:ind w:left="360" w:hanging="180"/>
        <w:spacing w:after="40"/>
      </w:pPr>
      <w:r>
        <w:t xml:space="preserve">• </w:t>
      </w:r>
      <w:r>
        <w:t xml:space="preserve">No separate AIS-specific rating is required.</w:t>
      </w:r>
    </w:p>
    <w:p>
      <w:r>
        <w:t xml:space="preserve"/>
      </w:r>
    </w:p>
    <w:p>
      <w:pPr>
        <w:spacing w:before="120" w:after="80"/>
      </w:pPr>
      <w:bookmarkStart w:id="42" w:name="section_53_small_underdeveloped_penis"/>
      <w:r>
        <w:rPr>
          <w:b/>
          <w:sz w:val="28"/>
          <w:szCs w:val="28"/>
        </w:rPr>
        <w:t xml:space="preserve">5.3 Small / underdeveloped penis</w:t>
      </w:r>
      <w:bookmarkEnd w:id="4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B — Possible / requires clinical confirmation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overlaps with the earlier possible micropenis / reduced penile size concern.</w:t>
      </w:r>
    </w:p>
    <w:p>
      <w:pPr>
        <w:ind w:left="360" w:hanging="180"/>
        <w:spacing w:after="40"/>
      </w:pPr>
      <w:r>
        <w:t xml:space="preserve">• </w:t>
      </w:r>
      <w:r>
        <w:t xml:space="preserve">Small penile size and formally defined micropenis should not be treated as identical without clinical measurement.</w:t>
      </w:r>
    </w:p>
    <w:p>
      <w:pPr>
        <w:ind w:left="360" w:hanging="180"/>
        <w:spacing w:after="40"/>
      </w:pPr>
      <w:r>
        <w:t xml:space="preserve">• </w:t>
      </w:r>
      <w:r>
        <w:t xml:space="preserve">No separate AIS-specific rating is required.</w:t>
      </w:r>
    </w:p>
    <w:p>
      <w:r>
        <w:t xml:space="preserve"/>
      </w:r>
    </w:p>
    <w:p>
      <w:pPr>
        <w:spacing w:before="120" w:after="80"/>
      </w:pPr>
      <w:bookmarkStart w:id="43" w:name="section_54_hypospadias"/>
      <w:r>
        <w:rPr>
          <w:b/>
          <w:sz w:val="28"/>
          <w:szCs w:val="28"/>
        </w:rPr>
        <w:t xml:space="preserve">5.4 Hypospadias</w:t>
      </w:r>
      <w:bookmarkEnd w:id="4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not currently able to identify whether hypospadias is present.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is an anatomical feature that can usually be assessed clinically.</w:t>
      </w:r>
    </w:p>
    <w:p>
      <w:pPr>
        <w:ind w:left="360" w:hanging="180"/>
        <w:spacing w:after="40"/>
      </w:pPr>
      <w:r>
        <w:t xml:space="preserve">• </w:t>
      </w:r>
      <w:r>
        <w:t xml:space="preserve">It should remain unclaimed unless confirmed by a clear anatomical observation or clinical examination.</w:t>
      </w:r>
    </w:p>
    <w:p>
      <w:r>
        <w:t xml:space="preserve"/>
      </w:r>
    </w:p>
    <w:p>
      <w:pPr>
        <w:spacing w:before="120" w:after="80"/>
      </w:pPr>
      <w:bookmarkStart w:id="44" w:name="section_55_pubic_underarm_hair"/>
      <w:r>
        <w:rPr>
          <w:b/>
          <w:sz w:val="28"/>
          <w:szCs w:val="28"/>
        </w:rPr>
        <w:t xml:space="preserve">5.5 Pubic / underarm hair</w:t>
      </w:r>
      <w:bookmarkEnd w:id="4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difficult to assess retrospectively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Regular grooming / hair removal means the natural pubic and underarm hair pattern is not currently easy to assess reliably.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Current visible hair distribution should not be used to infer an AIS-related pattern.</w:t>
      </w:r>
    </w:p>
    <w:p>
      <w:pPr>
        <w:ind w:left="360" w:hanging="180"/>
        <w:spacing w:after="40"/>
      </w:pPr>
      <w:r>
        <w:t xml:space="preserve">• </w:t>
      </w:r>
      <w:r>
        <w:t xml:space="preserve">Historical information or clinical assessment can be considered if relevant.</w:t>
      </w:r>
    </w:p>
    <w:p>
      <w:r>
        <w:t xml:space="preserve"/>
      </w:r>
    </w:p>
    <w:p>
      <w:pPr>
        <w:spacing w:before="120" w:after="80"/>
      </w:pPr>
      <w:bookmarkStart w:id="45" w:name="section_56_breast_development"/>
      <w:r>
        <w:rPr>
          <w:b/>
          <w:sz w:val="28"/>
          <w:szCs w:val="28"/>
        </w:rPr>
        <w:t xml:space="preserve">5.6 Breast development</w:t>
      </w:r>
      <w:bookmarkEnd w:id="4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clinically assessable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External appearance alone cannot reliably distinguish glandular breast tissue from fat.</w:t>
      </w:r>
    </w:p>
    <w:p>
      <w:pPr>
        <w:ind w:left="360" w:hanging="180"/>
        <w:spacing w:after="40"/>
      </w:pPr>
      <w:r>
        <w:t xml:space="preserve">• </w:t>
      </w:r>
      <w:r>
        <w:t xml:space="preserve">Clinical inspection and palpation can assess breast / glandular tissue development if relevant.</w:t>
      </w:r>
    </w:p>
    <w:p>
      <w:pPr>
        <w:ind w:left="360" w:hanging="180"/>
        <w:spacing w:after="40"/>
      </w:pPr>
      <w:r>
        <w:t xml:space="preserve">• </w:t>
      </w:r>
      <w:r>
        <w:t xml:space="preserve">Cup size should not be used as diagnostic evidence.</w:t>
      </w:r>
    </w:p>
    <w:p>
      <w:r>
        <w:t xml:space="preserve"/>
      </w:r>
    </w:p>
    <w:p>
      <w:pPr>
        <w:spacing w:before="120" w:after="80"/>
      </w:pPr>
      <w:bookmarkStart w:id="46" w:name="section_57_puberty_pattern"/>
      <w:r>
        <w:rPr>
          <w:b/>
          <w:sz w:val="28"/>
          <w:szCs w:val="28"/>
        </w:rPr>
        <w:t xml:space="preserve">5.7 Puberty pattern</w:t>
      </w:r>
      <w:bookmarkEnd w:id="4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historical pattern requires specialist review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current personal puberty history is not sufficiently complete to classify an AIS-type pubertal pattern.</w:t>
      </w:r>
    </w:p>
    <w:p>
      <w:pPr>
        <w:ind w:left="360" w:hanging="180"/>
        <w:spacing w:after="40"/>
      </w:pPr>
      <w:r>
        <w:t xml:space="preserve">• </w:t>
      </w:r>
      <w:r>
        <w:t xml:space="preserve">Specialist review may integrate pubertal history with hormone, chromosome and anatomical findings.</w:t>
      </w:r>
    </w:p>
    <w:p>
      <w:r>
        <w:t xml:space="preserve"/>
      </w:r>
    </w:p>
    <w:p>
      <w:pPr>
        <w:spacing w:before="120" w:after="80"/>
      </w:pPr>
      <w:bookmarkStart w:id="47" w:name="section_58_gonadal_internal_reproductive"/>
      <w:r>
        <w:rPr>
          <w:b/>
          <w:sz w:val="28"/>
          <w:szCs w:val="28"/>
        </w:rPr>
        <w:t xml:space="preserve">5.8 Gonadal / internal reproductive anatomy</w:t>
      </w:r>
      <w:bookmarkEnd w:id="4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investigation required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Internal reproductive anatomy cannot generally be determined from external appearance.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indicated, assessment may include ultrasound or other imaging alongside chromosome and hormone testing.</w:t>
      </w:r>
    </w:p>
    <w:p>
      <w:r>
        <w:t xml:space="preserve"/>
      </w:r>
    </w:p>
    <w:p>
      <w:pPr>
        <w:spacing w:before="120" w:after="80"/>
      </w:pPr>
      <w:bookmarkStart w:id="48" w:name="section_59_chromosome_pattern"/>
      <w:r>
        <w:rPr>
          <w:b/>
          <w:sz w:val="28"/>
          <w:szCs w:val="28"/>
        </w:rPr>
        <w:t xml:space="preserve">5.9 Chromosome pattern</w:t>
      </w:r>
      <w:bookmarkEnd w:id="4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AIS cannot be established from external appearance alone.</w:t>
      </w:r>
    </w:p>
    <w:p>
      <w:pPr>
        <w:ind w:left="360" w:hanging="180"/>
        <w:spacing w:after="40"/>
      </w:pPr>
      <w:r>
        <w:t xml:space="preserve">• </w:t>
      </w:r>
      <w:r>
        <w:t xml:space="preserve">Chromosome analysis is one component of specialist diagnostic assessment.</w:t>
      </w:r>
    </w:p>
    <w:p>
      <w:r>
        <w:t xml:space="preserve"/>
      </w:r>
    </w:p>
    <w:p>
      <w:pPr>
        <w:spacing w:before="120" w:after="80"/>
      </w:pPr>
      <w:bookmarkStart w:id="49" w:name="section_510_hormone_testosterone_pattern"/>
      <w:r>
        <w:rPr>
          <w:b/>
          <w:sz w:val="28"/>
          <w:szCs w:val="28"/>
        </w:rPr>
        <w:t xml:space="preserve">5.10 Hormone / testosterone pattern</w:t>
      </w:r>
      <w:bookmarkEnd w:id="4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laboratory assessment required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AIS is not simply a condition of low testosterone; the central issue is altered androgen response.</w:t>
      </w:r>
    </w:p>
    <w:p>
      <w:pPr>
        <w:ind w:left="360" w:hanging="180"/>
        <w:spacing w:after="40"/>
      </w:pPr>
      <w:r>
        <w:t xml:space="preserve">• </w:t>
      </w:r>
      <w:r>
        <w:t xml:space="preserve">Hormone results require specialist interpretation in the context of clinical and anatomical findings.</w:t>
      </w:r>
    </w:p>
    <w:p>
      <w:r>
        <w:t xml:space="preserve"/>
      </w:r>
    </w:p>
    <w:p>
      <w:pPr>
        <w:spacing w:before="120" w:after="80"/>
      </w:pPr>
      <w:bookmarkStart w:id="50" w:name="section_511_androgen_receptor_genetic_te"/>
      <w:r>
        <w:rPr>
          <w:b/>
          <w:sz w:val="28"/>
          <w:szCs w:val="28"/>
        </w:rPr>
        <w:t xml:space="preserve">5.11 Androgen receptor genetic testing</w:t>
      </w:r>
      <w:bookmarkEnd w:id="5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syndrome: diagnosis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specialist / genetic testing decision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Genetic testing may be considered where the clinical picture supports AIS.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not requesting a specific genetic test; the appropriate testing strategy should be determined clinically.</w:t>
      </w:r>
    </w:p>
    <w:p>
      <w:r>
        <w:t xml:space="preserve"/>
      </w:r>
    </w:p>
    <w:p>
      <w:pPr>
        <w:spacing w:before="120" w:after="80"/>
      </w:pPr>
      <w:bookmarkStart w:id="51" w:name="section_512_fertility_sperm_production"/>
      <w:r>
        <w:rPr>
          <w:b/>
          <w:sz w:val="28"/>
          <w:szCs w:val="28"/>
        </w:rPr>
        <w:t xml:space="preserve">5.12 Fertility / sperm production</w:t>
      </w:r>
      <w:bookmarkEnd w:id="5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testable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Fertility and sperm production cannot be inferred from external appearance.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assessment may include semen analysis, hormone testing and gonadal assessment.</w:t>
      </w:r>
    </w:p>
    <w:p>
      <w:r>
        <w:t xml:space="preserve"/>
      </w:r>
    </w:p>
    <w:p>
      <w:pPr>
        <w:spacing w:before="120" w:after="80"/>
      </w:pPr>
      <w:bookmarkStart w:id="52" w:name="section_6_congenital_hypogonadotropic_hy"/>
      <w:r>
        <w:rPr>
          <w:b/>
          <w:sz w:val="32"/>
          <w:szCs w:val="32"/>
        </w:rPr>
        <w:t xml:space="preserve">6. Congenital hypogonadotropic hypogonadism (CHH) / R148</w:t>
      </w:r>
      <w:bookmarkEnd w:id="52"/>
    </w:p>
    <w:p>
      <w:r>
        <w:t xml:space="preserve"/>
      </w:r>
    </w:p>
    <w:p>
      <w:pPr>
        <w:spacing w:before="120" w:after="80"/>
      </w:pPr>
      <w:bookmarkStart w:id="53" w:name="section_61_micropenis"/>
      <w:r>
        <w:rPr>
          <w:b/>
          <w:sz w:val="28"/>
          <w:szCs w:val="28"/>
        </w:rPr>
        <w:t xml:space="preserve">6.1 Micropenis</w:t>
      </w:r>
      <w:bookmarkEnd w:id="53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Previously reviewed — B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Retain the existing classification.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has already been reviewed under the general DSD section and remains possible pending formal stretched penile length measurement.</w:t>
      </w:r>
    </w:p>
    <w:p>
      <w:r>
        <w:t xml:space="preserve"/>
      </w:r>
    </w:p>
    <w:p>
      <w:pPr>
        <w:spacing w:before="120" w:after="80"/>
      </w:pPr>
      <w:bookmarkStart w:id="54" w:name="section_62_cryptorchidism_abnormal_testi"/>
      <w:r>
        <w:rPr>
          <w:b/>
          <w:sz w:val="28"/>
          <w:szCs w:val="28"/>
        </w:rPr>
        <w:t xml:space="preserve">6.2 Cryptorchidism / abnormal testicular position</w:t>
      </w:r>
      <w:bookmarkEnd w:id="54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Previously reviewed — B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Retain the existing classification.</w:t>
      </w:r>
    </w:p>
    <w:p>
      <w:pPr>
        <w:ind w:left="360" w:hanging="180"/>
        <w:spacing w:after="40"/>
      </w:pPr>
      <w:r>
        <w:t xml:space="preserve">• </w:t>
      </w:r>
      <w:r>
        <w:t xml:space="preserve">Congenital undescended, ascending and retractile testes have not been distinguished clinically.</w:t>
      </w:r>
    </w:p>
    <w:p>
      <w:r>
        <w:t xml:space="preserve"/>
      </w:r>
    </w:p>
    <w:p>
      <w:pPr>
        <w:spacing w:before="120" w:after="80"/>
      </w:pPr>
      <w:bookmarkStart w:id="55" w:name="section_63_delayed_absent_arrested_puber"/>
      <w:r>
        <w:rPr>
          <w:b/>
          <w:sz w:val="28"/>
          <w:szCs w:val="28"/>
        </w:rPr>
        <w:t xml:space="preserve">6.3 Delayed / absent / arrested puberty</w:t>
      </w:r>
      <w:bookmarkEnd w:id="5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Patient aged 18 with delayed puberty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historical pattern requires review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 available personal puberty history is not sufficiently complete to establish delayed, absent or arrested puberty.</w:t>
      </w:r>
    </w:p>
    <w:p>
      <w:pPr>
        <w:ind w:left="360" w:hanging="180"/>
        <w:spacing w:after="40"/>
      </w:pPr>
      <w:r>
        <w:t xml:space="preserve">• </w:t>
      </w:r>
      <w:r>
        <w:t xml:space="preserve">Specialist review can integrate developmental history, physical findings and hormone results.</w:t>
      </w:r>
    </w:p>
    <w:p>
      <w:r>
        <w:t xml:space="preserve"/>
      </w:r>
    </w:p>
    <w:p>
      <w:pPr>
        <w:spacing w:before="120" w:after="80"/>
      </w:pPr>
      <w:bookmarkStart w:id="56" w:name="section_64_lh_fsh_and_sex_hormone_patter"/>
      <w:r>
        <w:rPr>
          <w:b/>
          <w:sz w:val="28"/>
          <w:szCs w:val="28"/>
        </w:rPr>
        <w:t xml:space="preserve">6.4 LH / FSH and sex-hormone pattern</w:t>
      </w:r>
      <w:bookmarkEnd w:id="5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pPr>
        <w:ind w:left="360" w:hanging="180"/>
        <w:spacing w:after="40"/>
      </w:pPr>
      <w:r>
        <w:t xml:space="preserve">• </w:t>
      </w:r>
      <w:r>
        <w:t xml:space="preserve">R148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laboratory assessment required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This cannot be determined from appearance.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LH, FSH and sex-hormone testing can be interpreted in endocrine context.</w:t>
      </w:r>
    </w:p>
    <w:p>
      <w:pPr>
        <w:ind w:left="360" w:hanging="180"/>
        <w:spacing w:after="40"/>
      </w:pPr>
      <w:r>
        <w:t xml:space="preserve">• </w:t>
      </w:r>
      <w:r>
        <w:t xml:space="preserve">The current document does not claim eligibility for R148.</w:t>
      </w:r>
    </w:p>
    <w:p>
      <w:r>
        <w:t xml:space="preserve"/>
      </w:r>
    </w:p>
    <w:p>
      <w:pPr>
        <w:spacing w:before="120" w:after="80"/>
      </w:pPr>
      <w:bookmarkStart w:id="57" w:name="section_65_anosmia_hyposmia"/>
      <w:r>
        <w:rPr>
          <w:b/>
          <w:sz w:val="28"/>
          <w:szCs w:val="28"/>
        </w:rPr>
        <w:t xml:space="preserve">6.5 Anosmia / hyposmia</w:t>
      </w:r>
      <w:bookmarkEnd w:id="5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subjective history unclear / formally assessable if relevant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cannot reliably determine whether sense of smell is reduced compared with normal.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Do not classify anosmia or hyposmia as present.</w:t>
      </w:r>
    </w:p>
    <w:p>
      <w:pPr>
        <w:ind w:left="360" w:hanging="180"/>
        <w:spacing w:after="40"/>
      </w:pPr>
      <w:r>
        <w:t xml:space="preserve">• </w:t>
      </w:r>
      <w:r>
        <w:t xml:space="preserve">Formal smell assessment can be considered if clinically relevant.</w:t>
      </w:r>
    </w:p>
    <w:p>
      <w:r>
        <w:t xml:space="preserve"/>
      </w:r>
    </w:p>
    <w:p>
      <w:pPr>
        <w:spacing w:before="120" w:after="80"/>
      </w:pPr>
      <w:bookmarkStart w:id="58" w:name="section_66_hearing_loss"/>
      <w:r>
        <w:rPr>
          <w:b/>
          <w:sz w:val="28"/>
          <w:szCs w:val="28"/>
        </w:rPr>
        <w:t xml:space="preserve">6.6 Hearing loss</w:t>
      </w:r>
      <w:bookmarkEnd w:id="5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 current evidence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reports no known hearing difficulty.</w:t>
      </w:r>
    </w:p>
    <w:p>
      <w:pPr>
        <w:ind w:left="360" w:hanging="180"/>
        <w:spacing w:after="40"/>
      </w:pPr>
      <w:r>
        <w:t xml:space="preserve">• </w:t>
      </w:r>
      <w:r>
        <w:t xml:space="preserve">A previous aeromedical assessment was reportedly passed without difficulty.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formal audiogram result is currently available in this working record.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does not currently add support.</w:t>
      </w:r>
    </w:p>
    <w:p>
      <w:r>
        <w:t xml:space="preserve"/>
      </w:r>
    </w:p>
    <w:p>
      <w:pPr>
        <w:spacing w:before="120" w:after="80"/>
      </w:pPr>
      <w:bookmarkStart w:id="59" w:name="section_67_mirror_movements"/>
      <w:r>
        <w:rPr>
          <w:b/>
          <w:sz w:val="28"/>
          <w:szCs w:val="28"/>
        </w:rPr>
        <w:t xml:space="preserve">6.7 Mirror movements</w:t>
      </w:r>
      <w:bookmarkEnd w:id="59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current personal history or clinical finding supports mirror movements.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should remain unclaimed unless identified on directed neurological examination or reliable history.</w:t>
      </w:r>
    </w:p>
    <w:p>
      <w:r>
        <w:t xml:space="preserve"/>
      </w:r>
    </w:p>
    <w:p>
      <w:pPr>
        <w:spacing w:before="120" w:after="80"/>
      </w:pPr>
      <w:bookmarkStart w:id="60" w:name="section_68_midline_abnormalities"/>
      <w:r>
        <w:rPr>
          <w:b/>
          <w:sz w:val="28"/>
          <w:szCs w:val="28"/>
        </w:rPr>
        <w:t xml:space="preserve">6.8 Midline abnormalities</w:t>
      </w:r>
      <w:bookmarkEnd w:id="60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known relevant midline developmental abnormality is currently recorded.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does not currently add support.</w:t>
      </w:r>
    </w:p>
    <w:p>
      <w:r>
        <w:t xml:space="preserve"/>
      </w:r>
    </w:p>
    <w:p>
      <w:pPr>
        <w:spacing w:before="120" w:after="80"/>
      </w:pPr>
      <w:bookmarkStart w:id="61" w:name="section_69_hypodontia_dental_development"/>
      <w:r>
        <w:rPr>
          <w:b/>
          <w:sz w:val="28"/>
          <w:szCs w:val="28"/>
        </w:rPr>
        <w:t xml:space="preserve">6.9 Hypodontia / dental-development background</w:t>
      </w:r>
      <w:bookmarkEnd w:id="6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 — Relevant dental-development background; hypodontia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Approximately </w:t>
      </w:r>
      <w:r>
        <w:rPr>
          <w:b/>
        </w:rPr>
        <w:t xml:space="preserve">28 adult teeth are visibly present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The last four visible teeth appear to have erupted in positions similar to where wisdom teeth would normally be expected.</w:t>
      </w:r>
    </w:p>
    <w:p>
      <w:pPr>
        <w:ind w:left="360" w:hanging="180"/>
        <w:spacing w:after="40"/>
      </w:pPr>
      <w:r>
        <w:t xml:space="preserve">• </w:t>
      </w:r>
      <w:r>
        <w:t xml:space="preserve">It is not known whether any further unerupted / impacted teeth are present, or whether any permanent teeth are congenitally absent.</w:t>
      </w:r>
    </w:p>
    <w:p>
      <w:pPr>
        <w:ind w:left="360" w:hanging="180"/>
        <w:spacing w:after="40"/>
      </w:pPr>
      <w:r>
        <w:t xml:space="preserve">• </w:t>
      </w:r>
      <w:r>
        <w:t xml:space="preserve">There is also a recollection that tooth replacement may not have been complete at around age 12.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A visible count of 28 teeth does not establish hypodontia.</w:t>
      </w:r>
    </w:p>
    <w:p>
      <w:pPr>
        <w:ind w:left="360" w:hanging="180"/>
        <w:spacing w:after="40"/>
      </w:pPr>
      <w:r>
        <w:t xml:space="preserve">• </w:t>
      </w:r>
      <w:r>
        <w:t xml:space="preserve">The eruption pattern and current visible tooth count are worth retaining as developmental background.</w:t>
      </w:r>
    </w:p>
    <w:p>
      <w:pPr>
        <w:ind w:left="360" w:hanging="180"/>
        <w:spacing w:after="40"/>
      </w:pPr>
      <w:r>
        <w:t xml:space="preserve">• </w:t>
      </w:r>
      <w:r>
        <w:t xml:space="preserve">Dental records, professional examination and, if clinically relevant, dental imaging such as a panoramic radiograph would be required to determine whether hypodontia, impaction or another developmental dental pattern is present.</w:t>
      </w:r>
    </w:p>
    <w:p>
      <w:r>
        <w:t xml:space="preserve"/>
      </w:r>
    </w:p>
    <w:p>
      <w:pPr>
        <w:spacing w:before="120" w:after="80"/>
      </w:pPr>
      <w:bookmarkStart w:id="62" w:name="section_610_renal_agenesis"/>
      <w:r>
        <w:rPr>
          <w:b/>
          <w:sz w:val="28"/>
          <w:szCs w:val="28"/>
        </w:rPr>
        <w:t xml:space="preserve">6.10 Renal agenesis</w:t>
      </w:r>
      <w:bookmarkEnd w:id="6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/ not investigated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Renal agenesis is generally not identifiable from external appearance.</w:t>
      </w:r>
    </w:p>
    <w:p>
      <w:pPr>
        <w:ind w:left="360" w:hanging="180"/>
        <w:spacing w:after="40"/>
      </w:pPr>
      <w:r>
        <w:t xml:space="preserve">• </w:t>
      </w:r>
      <w:r>
        <w:t xml:space="preserve">No current personal history or imaging result establishes this feature.</w:t>
      </w:r>
    </w:p>
    <w:p>
      <w:pPr>
        <w:ind w:left="360" w:hanging="180"/>
        <w:spacing w:after="40"/>
      </w:pPr>
      <w:r>
        <w:t xml:space="preserve">• </w:t>
      </w:r>
      <w:r>
        <w:t xml:space="preserve">It is currently a low-priority item unless other clinical findings make renal imaging relevant.</w:t>
      </w:r>
    </w:p>
    <w:p>
      <w:r>
        <w:t xml:space="preserve"/>
      </w:r>
    </w:p>
    <w:p>
      <w:pPr>
        <w:spacing w:before="120" w:after="80"/>
      </w:pPr>
      <w:bookmarkStart w:id="63" w:name="section_611_congenital_limb_abnormalitie"/>
      <w:r>
        <w:rPr>
          <w:b/>
          <w:sz w:val="28"/>
          <w:szCs w:val="28"/>
        </w:rPr>
        <w:t xml:space="preserve">6.11 Congenital limb abnormalities</w:t>
      </w:r>
      <w:bookmarkEnd w:id="6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hypogonadotropic hypogonadism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 current evidence of a congenital limb abnormality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Separate records document lower-limb pain, alignment observations, mild quadriceps weakness and functional difficulty.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existing MSK findings do not establish a congenital limb abnormality.</w:t>
      </w:r>
    </w:p>
    <w:p>
      <w:pPr>
        <w:ind w:left="360" w:hanging="180"/>
        <w:spacing w:after="40"/>
      </w:pPr>
      <w:r>
        <w:t xml:space="preserve">• </w:t>
      </w:r>
      <w:r>
        <w:t xml:space="preserve">The current musculoskeletal history should remain separate from this CHH-associated congenital feature.</w:t>
      </w:r>
    </w:p>
    <w:p>
      <w:r>
        <w:t xml:space="preserve"/>
      </w:r>
    </w:p>
    <w:p>
      <w:pPr>
        <w:spacing w:before="120" w:after="80"/>
      </w:pPr>
      <w:bookmarkStart w:id="64" w:name="section_612_r148_hypogonadotropic_hypogo"/>
      <w:r>
        <w:rPr>
          <w:b/>
          <w:sz w:val="28"/>
          <w:szCs w:val="28"/>
        </w:rPr>
        <w:t xml:space="preserve">6.12 R148 — Hypogonadotropic hypogonadism</w:t>
      </w:r>
      <w:bookmarkEnd w:id="64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Testing pathway — only relevant if endocrine assessment supports hypogonadotropic hypogonadism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R148 is not itself a clinical feature.</w:t>
      </w:r>
    </w:p>
    <w:p>
      <w:pPr>
        <w:ind w:left="360" w:hanging="180"/>
        <w:spacing w:after="40"/>
      </w:pPr>
      <w:r>
        <w:t xml:space="preserve">• </w:t>
      </w:r>
      <w:r>
        <w:t xml:space="preserve">It becomes relevant when the clinical and biochemical picture supports hypogonadotropic hypogonadism, for example through pubertal history and an appropriate LH / FSH / sex-hormone pattern.</w:t>
      </w:r>
    </w:p>
    <w:p>
      <w:pPr>
        <w:ind w:left="360" w:hanging="180"/>
        <w:spacing w:after="40"/>
      </w:pPr>
      <w:r>
        <w:t xml:space="preserve">• </w:t>
      </w:r>
      <w:r>
        <w:t xml:space="preserve">The current document does not claim eligibility for R148.</w:t>
      </w:r>
    </w:p>
    <w:p>
      <w:r>
        <w:t xml:space="preserve"/>
      </w:r>
    </w:p>
    <w:p>
      <w:pPr>
        <w:spacing w:before="120" w:after="80"/>
      </w:pPr>
      <w:bookmarkStart w:id="65" w:name="section_7_cah_adrenal_related_features"/>
      <w:r>
        <w:rPr>
          <w:b/>
          <w:sz w:val="32"/>
          <w:szCs w:val="32"/>
        </w:rPr>
        <w:t xml:space="preserve">7. CAH / adrenal-related features</w:t>
      </w:r>
      <w:bookmarkEnd w:id="65"/>
    </w:p>
    <w:p>
      <w:r>
        <w:t xml:space="preserve"/>
      </w:r>
    </w:p>
    <w:p>
      <w:pPr>
        <w:spacing w:before="120" w:after="80"/>
      </w:pPr>
      <w:bookmarkStart w:id="66" w:name="section_71_salt_wasting_crisis_electroly"/>
      <w:r>
        <w:rPr>
          <w:b/>
          <w:sz w:val="28"/>
          <w:szCs w:val="28"/>
        </w:rPr>
        <w:t xml:space="preserve">7.1 Salt-wasting crisis / electrolyte disturbance</w:t>
      </w:r>
      <w:bookmarkEnd w:id="66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Hyponatraemia: D — Not established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Clinically confirmed dehydration: D — Not established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A separate July 2026 record documents marked thirst, increased urination, fatigue, salt preference and temporary use of oral rehydration solution.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symptoms do not establish hyponatraemia, hyperkalaemia, adrenal insufficiency or a salt-wasting crisis.</w:t>
      </w:r>
    </w:p>
    <w:p>
      <w:pPr>
        <w:ind w:left="360" w:hanging="180"/>
        <w:spacing w:after="40"/>
      </w:pPr>
      <w:r>
        <w:t xml:space="preserve">• </w:t>
      </w:r>
      <w:r>
        <w:t xml:space="preserve">Typical classical salt-wasting CAH presentations depend on clinical and biochemical findings, often including electrolyte disturbance.</w:t>
      </w:r>
    </w:p>
    <w:p>
      <w:pPr>
        <w:ind w:left="360" w:hanging="180"/>
        <w:spacing w:after="40"/>
      </w:pPr>
      <w:r>
        <w:t xml:space="preserve">• </w:t>
      </w:r>
      <w:r>
        <w:t xml:space="preserve">The July systemic episode should remain a separate background record unless laboratory evidence later supports an adrenal or electrolyte explanation.</w:t>
      </w:r>
    </w:p>
    <w:p>
      <w:r>
        <w:t xml:space="preserve"/>
      </w:r>
    </w:p>
    <w:p>
      <w:pPr>
        <w:spacing w:before="120" w:after="80"/>
      </w:pPr>
      <w:bookmarkStart w:id="67" w:name="section_72_ambiguous_genitalia_virilisat"/>
      <w:r>
        <w:rPr>
          <w:b/>
          <w:sz w:val="28"/>
          <w:szCs w:val="28"/>
        </w:rPr>
        <w:t xml:space="preserve">7.2 Ambiguous genitalia / virilisation / under-virilisation</w:t>
      </w:r>
      <w:bookmarkEnd w:id="6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Differences in sex development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Ambiguous genitalia: Not established — requires professional anatomical assessment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Hypospadias: Previously reviewed — 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Possible reduced penile size / micropenis: Previously reviewed — B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Possible reduced penile size does not by itself establish a CAH-related genital phenotype.</w:t>
      </w:r>
    </w:p>
    <w:p>
      <w:pPr>
        <w:ind w:left="360" w:hanging="180"/>
        <w:spacing w:after="40"/>
      </w:pPr>
      <w:r>
        <w:t xml:space="preserve">• </w:t>
      </w:r>
      <w:r>
        <w:t xml:space="preserve">Virilisation, under-virilisation and ambiguous genitalia are clinical anatomical concepts that should not be self-classified.</w:t>
      </w:r>
    </w:p>
    <w:p>
      <w:pPr>
        <w:ind w:left="360" w:hanging="180"/>
        <w:spacing w:after="40"/>
      </w:pPr>
      <w:r>
        <w:t xml:space="preserve">• </w:t>
      </w:r>
      <w:r>
        <w:t xml:space="preserve">Clinical examination, chromosome context and biochemical assessment would be required if this direction becomes relevant.</w:t>
      </w:r>
    </w:p>
    <w:p>
      <w:r>
        <w:t xml:space="preserve"/>
      </w:r>
    </w:p>
    <w:p>
      <w:pPr>
        <w:spacing w:before="120" w:after="80"/>
      </w:pPr>
      <w:bookmarkStart w:id="68" w:name="section_73_early_puberty_androgen_excess"/>
      <w:r>
        <w:rPr>
          <w:b/>
          <w:sz w:val="28"/>
          <w:szCs w:val="28"/>
        </w:rPr>
        <w:t xml:space="preserve">7.3 Early puberty / androgen excess</w:t>
      </w:r>
      <w:bookmarkEnd w:id="68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sufficiently clear history currently supports precocious puberty, markedly early pubic hair development, accelerated pre-pubertal growth, clinically significant androgen excess or advanced bone age.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does not currently add support.</w:t>
      </w:r>
    </w:p>
    <w:p>
      <w:r>
        <w:t xml:space="preserve"/>
      </w:r>
    </w:p>
    <w:p>
      <w:pPr>
        <w:spacing w:before="120" w:after="80"/>
      </w:pPr>
      <w:bookmarkStart w:id="69" w:name="section_74_r180_congenital_adrenal_hyper"/>
      <w:r>
        <w:rPr>
          <w:b/>
          <w:sz w:val="28"/>
          <w:szCs w:val="28"/>
        </w:rPr>
        <w:t xml:space="preserve">7.4 R180 — Congenital adrenal hyperplasia diagnostic test</w:t>
      </w:r>
      <w:bookmarkEnd w:id="69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Testing pathway — only relevant if biochemical assessment supports CAH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R180 is not itself a clinical feature.</w:t>
      </w:r>
    </w:p>
    <w:p>
      <w:pPr>
        <w:ind w:left="360" w:hanging="180"/>
        <w:spacing w:after="40"/>
      </w:pPr>
      <w:r>
        <w:t xml:space="preserve">• </w:t>
      </w:r>
      <w:r>
        <w:t xml:space="preserve">The current NHS pathway relies on biochemical evidence of CAH together with the relevant clinical presentation.</w:t>
      </w:r>
    </w:p>
    <w:p>
      <w:pPr>
        <w:ind w:left="360" w:hanging="180"/>
        <w:spacing w:after="40"/>
      </w:pPr>
      <w:r>
        <w:t xml:space="preserve">• </w:t>
      </w:r>
      <w:r>
        <w:t xml:space="preserve">The current document does not claim eligibility for R180.</w:t>
      </w:r>
    </w:p>
    <w:p>
      <w:r>
        <w:t xml:space="preserve"/>
      </w:r>
    </w:p>
    <w:p>
      <w:pPr>
        <w:spacing w:before="120" w:after="80"/>
      </w:pPr>
      <w:bookmarkStart w:id="70" w:name="section_75_r150_congenital_adrenal_hypop"/>
      <w:r>
        <w:rPr>
          <w:b/>
          <w:sz w:val="28"/>
          <w:szCs w:val="28"/>
        </w:rPr>
        <w:t xml:space="preserve">7.5 R150 — Congenital adrenal hypoplasia</w:t>
      </w:r>
      <w:bookmarkEnd w:id="70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/ not established — requires endocrine evidence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R150 is a testing pathway rather than a visible clinical feature.</w:t>
      </w:r>
    </w:p>
    <w:p>
      <w:pPr>
        <w:ind w:left="360" w:hanging="180"/>
        <w:spacing w:after="40"/>
      </w:pPr>
      <w:r>
        <w:t xml:space="preserve">• </w:t>
      </w:r>
      <w:r>
        <w:t xml:space="preserve">Congenital adrenal hypoplasia requires evidence of adrenal insufficiency and exclusion of other relevant causes.</w:t>
      </w:r>
    </w:p>
    <w:p>
      <w:pPr>
        <w:ind w:left="360" w:hanging="180"/>
        <w:spacing w:after="40"/>
      </w:pPr>
      <w:r>
        <w:t xml:space="preserve">• </w:t>
      </w:r>
      <w:r>
        <w:t xml:space="preserve">Current thirst, salt-preference or fatigue history does not establish adrenal insufficiency.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relevant, endocrine / biochemical assessment would determine whether this pathway has any relevance.</w:t>
      </w:r>
    </w:p>
    <w:p>
      <w:r>
        <w:t xml:space="preserve"/>
      </w:r>
    </w:p>
    <w:p>
      <w:pPr>
        <w:spacing w:before="120" w:after="80"/>
      </w:pPr>
      <w:bookmarkStart w:id="71" w:name="section_76_r160_primary_pigmented_nodula"/>
      <w:r>
        <w:rPr>
          <w:b/>
          <w:sz w:val="28"/>
          <w:szCs w:val="28"/>
        </w:rPr>
        <w:t xml:space="preserve">7.6 R160 — Primary pigmented nodular adrenocortical disease / ACTH-independent Cushing syndrome</w:t>
      </w:r>
      <w:bookmarkEnd w:id="71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 current evidence supporting this pathway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R160 is relevant where PPNAD or ACTH-independent Cushing syndrome has been clinically / biochemically established.</w:t>
      </w:r>
    </w:p>
    <w:p>
      <w:pPr>
        <w:ind w:left="360" w:hanging="180"/>
        <w:spacing w:after="40"/>
      </w:pPr>
      <w:r>
        <w:t xml:space="preserve">• </w:t>
      </w:r>
      <w:r>
        <w:t xml:space="preserve">No current record establishes cortisol excess, ACTH-independent Cushing syndrome, PPNAD or a related adrenal lesion.</w:t>
      </w:r>
    </w:p>
    <w:p>
      <w:pPr>
        <w:ind w:left="360" w:hanging="180"/>
        <w:spacing w:after="40"/>
      </w:pPr>
      <w:r>
        <w:t xml:space="preserve">• </w:t>
      </w:r>
      <w:r>
        <w:t xml:space="preserve">This pathway currently adds no referral support.</w:t>
      </w:r>
    </w:p>
    <w:p>
      <w:r>
        <w:t xml:space="preserve"/>
      </w:r>
    </w:p>
    <w:p>
      <w:pPr>
        <w:spacing w:before="120" w:after="80"/>
      </w:pPr>
      <w:bookmarkStart w:id="72" w:name="section_77_rare_cah_forms_with_under_vir"/>
      <w:r>
        <w:rPr>
          <w:b/>
          <w:sz w:val="28"/>
          <w:szCs w:val="28"/>
        </w:rPr>
        <w:t xml:space="preserve">7.7 Rare CAH forms with under-virilisation</w:t>
      </w:r>
      <w:bookmarkEnd w:id="7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cannot be distinguished without endocrine assessment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Some rarer CAH enzyme defects may involve androgen deficiency or under-virilisation rather than androgen excess.</w:t>
      </w:r>
    </w:p>
    <w:p>
      <w:pPr>
        <w:ind w:left="360" w:hanging="180"/>
        <w:spacing w:after="40"/>
      </w:pPr>
      <w:r>
        <w:t xml:space="preserve">• </w:t>
      </w:r>
      <w:r>
        <w:t xml:space="preserve">Possible reduced penile size or other genital-development concerns do not identify a specific CAH subtype.</w:t>
      </w:r>
    </w:p>
    <w:p>
      <w:pPr>
        <w:ind w:left="360" w:hanging="180"/>
        <w:spacing w:after="40"/>
      </w:pPr>
      <w:r>
        <w:t xml:space="preserve">• </w:t>
      </w:r>
      <w:r>
        <w:t xml:space="preserve">Hormone / adrenal steroid assessment and specialist interpretation would be required before this direction could be considered.</w:t>
      </w:r>
    </w:p>
    <w:p>
      <w:r>
        <w:t xml:space="preserve"/>
      </w:r>
    </w:p>
    <w:p>
      <w:pPr>
        <w:spacing w:before="120" w:after="80"/>
      </w:pPr>
      <w:bookmarkStart w:id="73" w:name="section_78_hypertension_mineralocorticoi"/>
      <w:r>
        <w:rPr>
          <w:b/>
          <w:sz w:val="28"/>
          <w:szCs w:val="28"/>
        </w:rPr>
        <w:t xml:space="preserve">7.8 Hypertension / mineralocorticoid-excess patterns</w:t>
      </w:r>
      <w:bookmarkEnd w:id="7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Congenital adrenal hyperplasia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— Not established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No clear current history establishes early, persistent or otherwise unexplained hypertension associated with an adrenal steroid disorder.</w:t>
      </w:r>
    </w:p>
    <w:p>
      <w:pPr>
        <w:ind w:left="360" w:hanging="180"/>
        <w:spacing w:after="40"/>
      </w:pPr>
      <w:r>
        <w:t xml:space="preserve">• </w:t>
      </w:r>
      <w:r>
        <w:t xml:space="preserve">This feature currently adds no support.</w:t>
      </w:r>
    </w:p>
    <w:p>
      <w:r>
        <w:t xml:space="preserve"/>
      </w:r>
    </w:p>
    <w:p>
      <w:pPr>
        <w:spacing w:before="120" w:after="80"/>
      </w:pPr>
      <w:bookmarkStart w:id="74" w:name="section_8_turner_syndrome_mrkh_and_lower"/>
      <w:r>
        <w:rPr>
          <w:b/>
          <w:sz w:val="32"/>
          <w:szCs w:val="32"/>
        </w:rPr>
        <w:t xml:space="preserve">8. Turner syndrome, MRKH and lower-priority differential references</w:t>
      </w:r>
      <w:bookmarkEnd w:id="74"/>
    </w:p>
    <w:p>
      <w:r>
        <w:t xml:space="preserve"/>
      </w:r>
    </w:p>
    <w:p>
      <w:pPr>
        <w:spacing w:before="120" w:after="80"/>
      </w:pPr>
      <w:bookmarkStart w:id="75" w:name="section_81_turner_syndrome"/>
      <w:r>
        <w:rPr>
          <w:b/>
          <w:sz w:val="28"/>
          <w:szCs w:val="28"/>
        </w:rPr>
        <w:t xml:space="preserve">8.1 Turner syndrome</w:t>
      </w:r>
      <w:bookmarkEnd w:id="7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England GeNotes — Turner syndrome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/ Low relevance on current information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Typical Turner-related features include short stature, ovarian dysgenesis / primary ovarian insufficiency and absent or incomplete puberty.</w:t>
      </w:r>
    </w:p>
    <w:p>
      <w:pPr>
        <w:ind w:left="360" w:hanging="180"/>
        <w:spacing w:after="40"/>
      </w:pPr>
      <w:r>
        <w:t xml:space="preserve">• </w:t>
      </w:r>
      <w:r>
        <w:t xml:space="preserve">The current record does not show a clear Turner-type pattern.</w:t>
      </w:r>
    </w:p>
    <w:p>
      <w:pPr>
        <w:ind w:left="360" w:hanging="180"/>
        <w:spacing w:after="40"/>
      </w:pPr>
      <w:r>
        <w:t xml:space="preserve">• </w:t>
      </w:r>
      <w:r>
        <w:t xml:space="preserve">The reference remains useful for navigation but is unlikely to contribute materially to the GP referral case.</w:t>
      </w:r>
    </w:p>
    <w:p>
      <w:r>
        <w:t xml:space="preserve"/>
      </w:r>
    </w:p>
    <w:p>
      <w:pPr>
        <w:spacing w:before="120" w:after="80"/>
      </w:pPr>
      <w:bookmarkStart w:id="76" w:name="section_82_r468_possible_sex_chromosome_"/>
      <w:r>
        <w:rPr>
          <w:b/>
          <w:sz w:val="28"/>
          <w:szCs w:val="28"/>
        </w:rPr>
        <w:t xml:space="preserve">8.2 R468 — Possible sex chromosome aneuploidy or structural rearrangement</w:t>
      </w:r>
      <w:bookmarkEnd w:id="76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Previously reviewed — testing pathway / specialist decision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Retain the existing positioning.</w:t>
      </w:r>
    </w:p>
    <w:p>
      <w:pPr>
        <w:ind w:left="360" w:hanging="180"/>
        <w:spacing w:after="40"/>
      </w:pPr>
      <w:r>
        <w:t xml:space="preserve">• </w:t>
      </w:r>
      <w:r>
        <w:t xml:space="preserve">R468 is relevant only if the overall clinical pattern creates suspicion of a sex-chromosome abnormality.</w:t>
      </w:r>
    </w:p>
    <w:p>
      <w:r>
        <w:t xml:space="preserve"/>
      </w:r>
    </w:p>
    <w:p>
      <w:pPr>
        <w:spacing w:before="120" w:after="80"/>
      </w:pPr>
      <w:bookmarkStart w:id="77" w:name="section_83_mrkh"/>
      <w:r>
        <w:rPr>
          <w:b/>
          <w:sz w:val="28"/>
          <w:szCs w:val="28"/>
        </w:rPr>
        <w:t xml:space="preserve">8.3 MRKH</w:t>
      </w:r>
      <w:bookmarkEnd w:id="77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Imperial College Healthcare NHS Trust — MRKH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/ Low relevance on current information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MRKH is primarily defined by internal reproductive-tract anatomy, including uterine / cervical / vaginal development.</w:t>
      </w:r>
    </w:p>
    <w:p>
      <w:pPr>
        <w:ind w:left="360" w:hanging="180"/>
        <w:spacing w:after="40"/>
      </w:pPr>
      <w:r>
        <w:t xml:space="preserve">• </w:t>
      </w:r>
      <w:r>
        <w:t xml:space="preserve">The current record does not show a clear MRKH-specific pattern.</w:t>
      </w:r>
    </w:p>
    <w:p>
      <w:pPr>
        <w:ind w:left="360" w:hanging="180"/>
        <w:spacing w:after="40"/>
      </w:pPr>
      <w:r>
        <w:t xml:space="preserve">• </w:t>
      </w:r>
      <w:r>
        <w:t xml:space="preserve">This reference should remain in the navigation library but is unlikely to contribute to the final GP referral case unless new anatomical information emerges.</w:t>
      </w:r>
    </w:p>
    <w:p>
      <w:r>
        <w:t xml:space="preserve"/>
      </w:r>
    </w:p>
    <w:p>
      <w:pPr>
        <w:spacing w:before="120" w:after="80"/>
      </w:pPr>
      <w:bookmarkStart w:id="78" w:name="section_84_primary_ovarian_insufficiency"/>
      <w:r>
        <w:rPr>
          <w:b/>
          <w:sz w:val="28"/>
          <w:szCs w:val="28"/>
        </w:rPr>
        <w:t xml:space="preserve">8.4 Primary ovarian insufficiency / R402</w:t>
      </w:r>
      <w:bookmarkEnd w:id="78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D / Not relevant on current information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R402 relates to a specific ovarian-insufficiency pattern involving amenorrhoea and repeated FSH elevation.</w:t>
      </w:r>
    </w:p>
    <w:p>
      <w:pPr>
        <w:ind w:left="360" w:hanging="180"/>
        <w:spacing w:after="40"/>
      </w:pPr>
      <w:r>
        <w:t xml:space="preserve">• </w:t>
      </w:r>
      <w:r>
        <w:t xml:space="preserve">No current information supports this pathway.</w:t>
      </w:r>
    </w:p>
    <w:p>
      <w:pPr>
        <w:ind w:left="360" w:hanging="180"/>
        <w:spacing w:after="40"/>
      </w:pPr>
      <w:r>
        <w:t xml:space="preserve">• </w:t>
      </w:r>
      <w:r>
        <w:t xml:space="preserve">It should remain as a reference-library item only.</w:t>
      </w:r>
    </w:p>
    <w:p>
      <w:r>
        <w:t xml:space="preserve"/>
      </w:r>
    </w:p>
    <w:p>
      <w:pPr>
        <w:spacing w:before="120" w:after="80"/>
      </w:pPr>
      <w:bookmarkStart w:id="79" w:name="section_85_renal_hearing_and_congenital_"/>
      <w:r>
        <w:rPr>
          <w:b/>
          <w:sz w:val="28"/>
          <w:szCs w:val="28"/>
        </w:rPr>
        <w:t xml:space="preserve">8.5 Renal, hearing and congenital skeletal associated findings</w:t>
      </w:r>
      <w:bookmarkEnd w:id="79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Hearing: D — No current evidence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Renal anomaly: Unknown / not investigated, low priority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Congenital skeletal anomaly: D — No current evidence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reports no known hearing difficulty and previously passed an aeromedical assessment without difficulty.</w:t>
      </w:r>
    </w:p>
    <w:p>
      <w:pPr>
        <w:ind w:left="360" w:hanging="180"/>
        <w:spacing w:after="40"/>
      </w:pPr>
      <w:r>
        <w:t xml:space="preserve">• </w:t>
      </w:r>
      <w:r>
        <w:t xml:space="preserve">No known renal developmental abnormality is currently recorded.</w:t>
      </w:r>
    </w:p>
    <w:p>
      <w:pPr>
        <w:ind w:left="360" w:hanging="180"/>
        <w:spacing w:after="40"/>
      </w:pPr>
      <w:r>
        <w:t xml:space="preserve">• </w:t>
      </w:r>
      <w:r>
        <w:t xml:space="preserve">Existing lower-limb MSK problems do not establish a congenital skeletal anomaly.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These findings currently add little or no support to a DSD referral case.</w:t>
      </w:r>
    </w:p>
    <w:p>
      <w:pPr>
        <w:ind w:left="360" w:hanging="180"/>
        <w:spacing w:after="40"/>
      </w:pPr>
      <w:r>
        <w:t xml:space="preserve">• </w:t>
      </w:r>
      <w:r>
        <w:t xml:space="preserve">Current musculoskeletal problems should remain separate from congenital skeletal-anomaly references unless a clinician identifies a specific developmental abnormality.</w:t>
      </w:r>
    </w:p>
    <w:p>
      <w:r>
        <w:t xml:space="preserve"/>
      </w:r>
    </w:p>
    <w:p>
      <w:pPr>
        <w:spacing w:before="120" w:after="80"/>
      </w:pPr>
      <w:bookmarkStart w:id="80" w:name="section_9_bone_health_hrt_gonadal_manage"/>
      <w:r>
        <w:rPr>
          <w:b/>
          <w:sz w:val="32"/>
          <w:szCs w:val="32"/>
        </w:rPr>
        <w:t xml:space="preserve">9. Bone health, HRT, gonadal management and referral support</w:t>
      </w:r>
      <w:bookmarkEnd w:id="80"/>
    </w:p>
    <w:p>
      <w:r>
        <w:t xml:space="preserve"/>
      </w:r>
    </w:p>
    <w:p>
      <w:pPr>
        <w:spacing w:before="120" w:after="80"/>
      </w:pPr>
      <w:bookmarkStart w:id="81" w:name="section_91_bone_health_osteoporosis_rele"/>
      <w:r>
        <w:rPr>
          <w:b/>
          <w:sz w:val="28"/>
          <w:szCs w:val="28"/>
        </w:rPr>
        <w:t xml:space="preserve">9.1 Bone health / osteoporosis relevance</w:t>
      </w:r>
      <w:bookmarkEnd w:id="81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pPr>
        <w:ind w:left="360" w:hanging="180"/>
        <w:spacing w:after="40"/>
      </w:pPr>
      <w:r>
        <w:t xml:space="preserve">• </w:t>
      </w:r>
      <w:r>
        <w:t xml:space="preserve">NHS — Osteoporosis: causes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bone disease not established; current MSK problem is separate relevant background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Separate records document an ongoing lower-limb musculoskeletal / functional problem requiring FCP and MSK assessment and rehabilitation.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Current MSK symptoms do not establish osteoporosis, metabolic bone disease or hormone deficiency.</w:t>
      </w:r>
    </w:p>
    <w:p>
      <w:pPr>
        <w:ind w:left="360" w:hanging="180"/>
        <w:spacing w:after="40"/>
      </w:pPr>
      <w:r>
        <w:t xml:space="preserve">• </w:t>
      </w:r>
      <w:r>
        <w:t xml:space="preserve">In some DSD / hypogonadal contexts, clinically significant sex-hormone deficiency may be relevant to long-term bone health.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indicated, bone-health assessment may include hormone status, vitamin / mineral assessment and bone-density testing.</w:t>
      </w:r>
    </w:p>
    <w:p>
      <w:r>
        <w:t xml:space="preserve"/>
      </w:r>
    </w:p>
    <w:p>
      <w:pPr>
        <w:spacing w:before="120" w:after="80"/>
      </w:pPr>
      <w:bookmarkStart w:id="82" w:name="section_92_hrt_relevance"/>
      <w:r>
        <w:rPr>
          <w:b/>
          <w:sz w:val="28"/>
          <w:szCs w:val="28"/>
        </w:rPr>
        <w:t xml:space="preserve">9.2 HRT relevance</w:t>
      </w:r>
      <w:bookmarkEnd w:id="82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pPr>
        <w:ind w:left="360" w:hanging="180"/>
        <w:spacing w:after="40"/>
      </w:pPr>
      <w:r>
        <w:t xml:space="preserve">• </w:t>
      </w:r>
      <w:r>
        <w:t xml:space="preserve">NHS — Androgen insensitivity syndrome</w:t>
      </w:r>
    </w:p>
    <w:p>
      <w:pPr>
        <w:ind w:left="360" w:hanging="180"/>
        <w:spacing w:after="40"/>
      </w:pPr>
      <w:r>
        <w:t xml:space="preserve">• </w:t>
      </w:r>
      <w:r>
        <w:t xml:space="preserve">NHS — Osteoporosis: causes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depends on confirmed hormone / gonadal status</w:t>
      </w:r>
    </w:p>
    <w:p>
      <w:r>
        <w:t xml:space="preserve"/>
      </w:r>
    </w:p>
    <w:p>
      <w:r>
        <w:t xml:space="preserve">Current personal information:</w:t>
      </w:r>
    </w:p>
    <w:p>
      <w:pPr>
        <w:ind w:left="360" w:hanging="180"/>
        <w:spacing w:after="40"/>
      </w:pPr>
      <w:r>
        <w:t xml:space="preserve">• </w:t>
      </w:r>
      <w:r>
        <w:t xml:space="preserve">The patient has access to estradiol / Estrofem and Androcur but has </w:t>
      </w:r>
      <w:r>
        <w:rPr>
          <w:b/>
        </w:rPr>
        <w:t xml:space="preserve">never started or used these medicines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After considering possible DSD / endocrine questions, the patient chose not to start exogenous HRT before appropriate clinical assessment.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HRT is not being requested on the basis of current MSK symptoms alone.</w:t>
      </w:r>
    </w:p>
    <w:p>
      <w:pPr>
        <w:ind w:left="360" w:hanging="180"/>
        <w:spacing w:after="40"/>
      </w:pPr>
      <w:r>
        <w:t xml:space="preserve">• </w:t>
      </w:r>
      <w:r>
        <w:t xml:space="preserve">If specialist assessment identifies clinically significant sex-hormone deficiency, loss of gonadal hormone function or another clear indication, hormone replacement may become relevant.</w:t>
      </w:r>
    </w:p>
    <w:p>
      <w:pPr>
        <w:ind w:left="360" w:hanging="180"/>
        <w:spacing w:after="40"/>
      </w:pPr>
      <w:r>
        <w:t xml:space="preserve">• </w:t>
      </w:r>
      <w:r>
        <w:t xml:space="preserve">The patient does not have a preferred HRT regimen and is open to specialist guidance.</w:t>
      </w:r>
    </w:p>
    <w:p>
      <w:r>
        <w:t xml:space="preserve"/>
      </w:r>
    </w:p>
    <w:p>
      <w:pPr>
        <w:spacing w:before="120" w:after="80"/>
      </w:pPr>
      <w:bookmarkStart w:id="83" w:name="section_93_gonadal_surveillance_gonadect"/>
      <w:r>
        <w:rPr>
          <w:b/>
          <w:sz w:val="28"/>
          <w:szCs w:val="28"/>
        </w:rPr>
        <w:t xml:space="preserve">9.3 Gonadal surveillance / gonadectomy</w:t>
      </w:r>
      <w:bookmarkEnd w:id="83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Complete androgen insensitivity syndrome (CAIS)</w:t>
      </w:r>
    </w:p>
    <w:p>
      <w:pPr>
        <w:ind w:left="360" w:hanging="180"/>
        <w:spacing w:after="40"/>
      </w:pPr>
      <w:r>
        <w:t xml:space="preserve">• </w:t>
      </w:r>
      <w:r>
        <w:t xml:space="preserve">UCLH — Laparoscopic gonadectomy</w:t>
      </w:r>
    </w:p>
    <w:p>
      <w:pPr>
        <w:ind w:left="360" w:hanging="180"/>
        <w:spacing w:after="40"/>
      </w:pPr>
      <w:r>
        <w:t xml:space="preserve">• </w:t>
      </w:r>
      <w:r>
        <w:t xml:space="preserve">UCLH — Inguinal gonadectomy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Unknown — diagnosis / gonadal anatomy dependent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Gonadal surveillance, tumour-risk assessment or gonadectomy should not be assumed before a relevant DSD diagnosis or gonadal-anatomy finding is established.</w:t>
      </w:r>
    </w:p>
    <w:p>
      <w:pPr>
        <w:ind w:left="360" w:hanging="180"/>
        <w:spacing w:after="40"/>
      </w:pPr>
      <w:r>
        <w:t xml:space="preserve">• </w:t>
      </w:r>
      <w:r>
        <w:t xml:space="preserve">If clinically indicated, specialist assessment may include examination, imaging, blood testing and multidisciplinary review.</w:t>
      </w:r>
    </w:p>
    <w:p>
      <w:r>
        <w:t xml:space="preserve"/>
      </w:r>
    </w:p>
    <w:p>
      <w:pPr>
        <w:spacing w:before="120" w:after="80"/>
      </w:pPr>
      <w:bookmarkStart w:id="84" w:name="section_94_psychological_reproductive_su"/>
      <w:r>
        <w:rPr>
          <w:b/>
          <w:sz w:val="28"/>
          <w:szCs w:val="28"/>
        </w:rPr>
        <w:t xml:space="preserve">9.4 Psychological / reproductive support</w:t>
      </w:r>
      <w:bookmarkEnd w:id="84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NHS — Differences in sex development</w:t>
      </w:r>
    </w:p>
    <w:p>
      <w:pPr>
        <w:ind w:left="360" w:hanging="180"/>
        <w:spacing w:after="40"/>
      </w:pPr>
      <w:r>
        <w:t xml:space="preserve">• </w:t>
      </w:r>
      <w:r>
        <w:t xml:space="preserve">UCLH — Differences in Sex Development service</w:t>
      </w:r>
    </w:p>
    <w:p>
      <w:pPr>
        <w:ind w:left="360" w:hanging="180"/>
        <w:spacing w:after="40"/>
      </w:pPr>
      <w:r>
        <w:t xml:space="preserve">• </w:t>
      </w:r>
      <w:r>
        <w:t xml:space="preserve">UCLH — Women’s Health Psychological Services</w:t>
      </w:r>
    </w:p>
    <w:p>
      <w:pPr>
        <w:ind w:left="360" w:hanging="180"/>
        <w:spacing w:after="40"/>
      </w:pPr>
      <w:r>
        <w:t xml:space="preserve">• </w:t>
      </w:r>
      <w:r>
        <w:t xml:space="preserve">UCLH — Reproductive Medicine Unit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Support pathway — not diagnostic evidence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Psychological, body-image, sexuality, relationship and reproductive support may form part of multidisciplinary DSD care where relevant.</w:t>
      </w:r>
    </w:p>
    <w:p>
      <w:pPr>
        <w:ind w:left="360" w:hanging="180"/>
        <w:spacing w:after="40"/>
      </w:pPr>
      <w:r>
        <w:t xml:space="preserve">• </w:t>
      </w:r>
      <w:r>
        <w:t xml:space="preserve">These services are not evidence for or against a DSD diagnosis and do not require a separate personal feature classification.</w:t>
      </w:r>
    </w:p>
    <w:p>
      <w:r>
        <w:t xml:space="preserve"/>
      </w:r>
    </w:p>
    <w:p>
      <w:pPr>
        <w:spacing w:before="120" w:after="80"/>
      </w:pPr>
      <w:bookmarkStart w:id="85" w:name="section_95_uclh_cuh_referral_navigation"/>
      <w:r>
        <w:rPr>
          <w:b/>
          <w:sz w:val="28"/>
          <w:szCs w:val="28"/>
        </w:rPr>
        <w:t xml:space="preserve">9.5 UCLH / CUH referral navigation</w:t>
      </w:r>
      <w:bookmarkEnd w:id="85"/>
    </w:p>
    <w:p>
      <w:r>
        <w:t xml:space="preserve"/>
      </w:r>
    </w:p>
    <w:p>
      <w:r>
        <w:t xml:space="preserve">Official reference:</w:t>
      </w:r>
    </w:p>
    <w:p>
      <w:pPr>
        <w:ind w:left="360" w:hanging="180"/>
        <w:spacing w:after="40"/>
      </w:pPr>
      <w:r>
        <w:t xml:space="preserve">• </w:t>
      </w:r>
      <w:r>
        <w:t xml:space="preserve">UCLH — Differences in Sex Development service</w:t>
      </w:r>
    </w:p>
    <w:p>
      <w:pPr>
        <w:ind w:left="360" w:hanging="180"/>
        <w:spacing w:after="40"/>
      </w:pPr>
      <w:r>
        <w:t xml:space="preserve">• </w:t>
      </w:r>
      <w:r>
        <w:t xml:space="preserve">CUH — Adult disorders of sexual differentiation (DSD) clinic</w:t>
      </w:r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Referral pathway — specialist destination decision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UCLH publicly describes a tertiary adolescent / adult DSD service and explicitly recognises adult first presentation.</w:t>
      </w:r>
    </w:p>
    <w:p>
      <w:pPr>
        <w:ind w:left="360" w:hanging="180"/>
        <w:spacing w:after="40"/>
      </w:pPr>
      <w:r>
        <w:t xml:space="preserve">• </w:t>
      </w:r>
      <w:r>
        <w:t xml:space="preserve">CUH / Addenbrooke’s publicly lists an Adult DSD clinic within the Adult Endocrine service.</w:t>
      </w:r>
    </w:p>
    <w:p>
      <w:pPr>
        <w:ind w:left="360" w:hanging="180"/>
        <w:spacing w:after="40"/>
      </w:pPr>
      <w:r>
        <w:t xml:space="preserve">• </w:t>
      </w:r>
      <w:r>
        <w:t xml:space="preserve">The patient is open to referral to either centre and does not require a specific destination.</w:t>
      </w:r>
    </w:p>
    <w:p>
      <w:pPr>
        <w:ind w:left="360" w:hanging="180"/>
        <w:spacing w:after="40"/>
      </w:pPr>
      <w:r>
        <w:t xml:space="preserve">• </w:t>
      </w:r>
      <w:r>
        <w:t xml:space="preserve">As the patient is within the CUH area, Addenbrooke’s may be a practical local option, but another specialist centre such as UCLH is also acceptable if clinically or administratively more appropriate.</w:t>
      </w:r>
    </w:p>
    <w:p>
      <w:pPr>
        <w:ind w:left="360" w:hanging="180"/>
        <w:spacing w:after="40"/>
      </w:pPr>
      <w:r>
        <w:t xml:space="preserve">• </w:t>
      </w:r>
      <w:r>
        <w:t xml:space="preserve">Public information does not clearly establish a complete comparison of the two services or all pre-referral requirements.</w:t>
      </w:r>
    </w:p>
    <w:p>
      <w:pPr>
        <w:ind w:left="360" w:hanging="180"/>
        <w:spacing w:after="40"/>
      </w:pPr>
      <w:r>
        <w:t xml:space="preserve">• </w:t>
      </w:r>
      <w:r>
        <w:t xml:space="preserve">The GP may use local NHS referral pathways, service criteria, Advice and Guidance, or other appropriate referral mechanisms to determine the most suitable destination.</w:t>
      </w:r>
    </w:p>
    <w:p>
      <w:r>
        <w:t xml:space="preserve"/>
      </w:r>
    </w:p>
    <w:p>
      <w:pPr>
        <w:spacing w:before="120" w:after="80"/>
      </w:pPr>
      <w:bookmarkStart w:id="86" w:name="section_96_broader_clinical_context"/>
      <w:r>
        <w:rPr>
          <w:b/>
          <w:sz w:val="28"/>
          <w:szCs w:val="28"/>
        </w:rPr>
        <w:t xml:space="preserve">9.6 Broader clinical context</w:t>
      </w:r>
      <w:bookmarkEnd w:id="86"/>
    </w:p>
    <w:p>
      <w:r>
        <w:t xml:space="preserve"/>
      </w:r>
    </w:p>
    <w:p>
      <w:r>
        <w:t xml:space="preserve">Current status: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Context — GP-level clinical consideration, not a DSD diagnostic claim</w:t>
      </w:r>
    </w:p>
    <w:p>
      <w:r>
        <w:t xml:space="preserve"/>
      </w:r>
    </w:p>
    <w:p>
      <w:r>
        <w:t xml:space="preserve">Interpretation:</w:t>
      </w:r>
    </w:p>
    <w:p>
      <w:pPr>
        <w:ind w:left="360" w:hanging="180"/>
        <w:spacing w:after="40"/>
      </w:pPr>
      <w:r>
        <w:t xml:space="preserve">• </w:t>
      </w:r>
      <w:r>
        <w:t xml:space="preserve">Several different health problems have required assessment over a relatively short period.</w:t>
      </w:r>
    </w:p>
    <w:p>
      <w:pPr>
        <w:ind w:left="360" w:hanging="180"/>
        <w:spacing w:after="40"/>
      </w:pPr>
      <w:r>
        <w:t xml:space="preserve">• </w:t>
      </w:r>
      <w:r>
        <w:t xml:space="preserve">These problems may ultimately be unrelated.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would nevertheless appreciate the GP considering whether any broader underlying factor warrants assessment rather than treating every problem entirely in isolation.</w:t>
      </w:r>
    </w:p>
    <w:p>
      <w:pPr>
        <w:ind w:left="360" w:hanging="180"/>
        <w:spacing w:after="40"/>
      </w:pPr>
      <w:r>
        <w:t xml:space="preserve">• </w:t>
      </w:r>
      <w:r>
        <w:t xml:space="preserve">This statement should not be used to imply that the current lower-limb, upper-limb, skin, systemic or other problems share a proven cause.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