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timeline"/>
      <w:r>
        <w:rPr>
          <w:b/>
          <w:sz w:val="40"/>
          <w:szCs w:val="40"/>
        </w:rPr>
        <w:t xml:space="preserve">Long-Term Health Timeline</w:t>
      </w:r>
      <w:bookmarkEnd w:id="1"/>
    </w:p>
    <w:p>
      <w:r>
        <w:t xml:space="preserve"/>
      </w:r>
    </w:p>
    <w:p>
      <w:r>
        <w:t xml:space="preserve">Date: Friday 10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long-term timeline of the patient's health history, currently beginning with the ongoing right lower-limb / knee problem and updated to include developments recorded up to 10 July 2026.</w:t>
      </w:r>
    </w:p>
    <w:p>
      <w:r>
        <w:t xml:space="preserve"/>
      </w:r>
    </w:p>
    <w:p>
      <w:r>
        <w:t xml:space="preserve">Its purpose is to help a clinician who has not previously met the patient understand the overall background before assessment. The document records the patient's reported history, available healthcare records, and known dates. It does not attempt to provide a diagnosis or interpretation.</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record:</w:t>
      </w:r>
    </w:p>
    <w:p>
      <w:r>
        <w:t xml:space="preserve"/>
      </w:r>
    </w:p>
    <w:p>
      <w:pPr>
        <w:ind w:left="360" w:hanging="180"/>
        <w:spacing w:after="40"/>
      </w:pPr>
      <w:r>
        <w:t xml:space="preserve">• </w:t>
      </w:r>
      <w:r>
        <w:t xml:space="preserve">the patient's reported symptoms, functional impact, and management history;</w:t>
      </w:r>
    </w:p>
    <w:p>
      <w:pPr>
        <w:ind w:left="360" w:hanging="180"/>
        <w:spacing w:after="40"/>
      </w:pPr>
      <w:r>
        <w:t xml:space="preserve">• </w:t>
      </w:r>
      <w:r>
        <w:t xml:space="preserve">known healthcare contacts and clinical records;</w:t>
      </w:r>
    </w:p>
    <w:p>
      <w:pPr>
        <w:ind w:left="360" w:hanging="180"/>
        <w:spacing w:after="40"/>
      </w:pPr>
      <w:r>
        <w:t xml:space="preserve">• </w:t>
      </w:r>
      <w:r>
        <w:t xml:space="preserve">whether dates are confirmed.</w:t>
      </w:r>
    </w:p>
    <w:p>
      <w:r>
        <w:t xml:space="preserve"/>
      </w:r>
    </w:p>
    <w:p>
      <w:r>
        <w:t xml:space="preserve">The document does not present the patient's own interpretation as a diagnosis. Where a date, dose, or event detail cannot currently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or medicine label.</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round_mid_september_2025_approximate_on"/>
      <w:r>
        <w:rPr>
          <w:b/>
          <w:sz w:val="32"/>
          <w:szCs w:val="32"/>
        </w:rPr>
        <w:t xml:space="preserve">Around mid-September 2025 (Approximate) – onset of right lower-limb/right-knee symptoms</w:t>
      </w:r>
      <w:bookmarkEnd w:id="7"/>
    </w:p>
    <w:p>
      <w:r>
        <w:t xml:space="preserve"/>
      </w:r>
    </w:p>
    <w:p>
      <w:pPr>
        <w:ind w:left="360" w:hanging="180"/>
        <w:spacing w:after="40"/>
      </w:pPr>
      <w:r>
        <w:t xml:space="preserve">• </w:t>
      </w:r>
      <w:r>
        <w:t xml:space="preserve">The patient began to notice intermittent discomfort and a sense that the right lower limb/right knee was unstable or not normal.</w:t>
      </w:r>
    </w:p>
    <w:p>
      <w:pPr>
        <w:ind w:left="360" w:hanging="180"/>
        <w:spacing w:after="40"/>
      </w:pPr>
      <w:r>
        <w:t xml:space="preserve">• </w:t>
      </w:r>
      <w:r>
        <w:t xml:space="preserve">There was no known injury or trauma at the time.</w:t>
      </w:r>
    </w:p>
    <w:p>
      <w:pPr>
        <w:ind w:left="360" w:hanging="180"/>
        <w:spacing w:after="40"/>
      </w:pPr>
      <w:r>
        <w:t xml:space="preserve">• </w:t>
      </w:r>
      <w:r>
        <w:t xml:space="preserve">The patient remained able to walk and carry out normal daily activities but sometimes needed to move more cautiously or adapt movements.</w:t>
      </w:r>
    </w:p>
    <w:p>
      <w:pPr>
        <w:ind w:left="360" w:hanging="180"/>
        <w:spacing w:after="40"/>
      </w:pPr>
      <w:r>
        <w:t xml:space="preserve">• </w:t>
      </w:r>
      <w:r>
        <w:t xml:space="preserve">Early symptoms included:</w:t>
      </w:r>
    </w:p>
    <w:p>
      <w:pPr>
        <w:ind w:left="720" w:hanging="180"/>
        <w:spacing w:after="40"/>
      </w:pPr>
      <w:r>
        <w:t xml:space="preserve">• </w:t>
      </w:r>
      <w:r>
        <w:t xml:space="preserve">discomfort or pain when using stairs;</w:t>
      </w:r>
    </w:p>
    <w:p>
      <w:pPr>
        <w:ind w:left="720" w:hanging="180"/>
        <w:spacing w:after="40"/>
      </w:pPr>
      <w:r>
        <w:t xml:space="preserve">• </w:t>
      </w:r>
      <w:r>
        <w:t xml:space="preserve">occasional right-knee discomfort while walking;</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full weight-bearing on the right knee while kneeling and therefore cannot confirm full weight-bearing tolerance in that position.</w:t>
      </w:r>
    </w:p>
    <w:p>
      <w:r>
        <w:t xml:space="preserve"/>
      </w:r>
    </w:p>
    <w:p>
      <w:pPr>
        <w:spacing w:before="120" w:after="80"/>
      </w:pPr>
      <w:bookmarkStart w:id="8" w:name="date_to_be_confirmed_before_17_november_"/>
      <w:r>
        <w:rPr>
          <w:b/>
          <w:sz w:val="32"/>
          <w:szCs w:val="32"/>
        </w:rPr>
        <w:t xml:space="preserve">Date to be confirmed (before 17 November 2025) – GP review and physiotherapy referral</w:t>
      </w:r>
      <w:bookmarkEnd w:id="8"/>
    </w:p>
    <w:p>
      <w:r>
        <w:t xml:space="preserve"/>
      </w:r>
    </w:p>
    <w:p>
      <w:pPr>
        <w:ind w:left="360" w:hanging="180"/>
        <w:spacing w:after="40"/>
      </w:pPr>
      <w:r>
        <w:t xml:space="preserve">• </w:t>
      </w:r>
      <w:r>
        <w:t xml:space="preserve">The patient sought medical advice regarding the right knee.</w:t>
      </w:r>
    </w:p>
    <w:p>
      <w:pPr>
        <w:ind w:left="360" w:hanging="180"/>
        <w:spacing w:after="40"/>
      </w:pPr>
      <w:r>
        <w:t xml:space="preserve">• </w:t>
      </w:r>
      <w:r>
        <w:t xml:space="preserve">According to the patient's recollection, the doctor noted movement-related sounds from both knees, with differences between the two sides.</w:t>
      </w:r>
    </w:p>
    <w:p>
      <w:pPr>
        <w:ind w:left="360" w:hanging="180"/>
        <w:spacing w:after="40"/>
      </w:pPr>
      <w:r>
        <w:t xml:space="preserve">• </w:t>
      </w:r>
      <w:r>
        <w:t xml:space="preserve">The patient does not recall receiving a specific diagnosis.</w:t>
      </w:r>
    </w:p>
    <w:p>
      <w:pPr>
        <w:ind w:left="360" w:hanging="180"/>
        <w:spacing w:after="40"/>
      </w:pPr>
      <w:r>
        <w:t xml:space="preserve">• </w:t>
      </w:r>
      <w:r>
        <w:t xml:space="preserve">Physiotherapy was arranged.</w:t>
      </w:r>
    </w:p>
    <w:p>
      <w:r>
        <w:t xml:space="preserve"/>
      </w:r>
    </w:p>
    <w:p>
      <w:pPr>
        <w:spacing w:before="120" w:after="80"/>
      </w:pPr>
      <w:bookmarkStart w:id="9" w:name="section_17_november_2025_first_physiothe"/>
      <w:r>
        <w:rPr>
          <w:b/>
          <w:sz w:val="32"/>
          <w:szCs w:val="32"/>
        </w:rPr>
        <w:t xml:space="preserve">17 November 2025 – First physiotherapy appointment</w:t>
      </w:r>
      <w:bookmarkEnd w:id="9"/>
    </w:p>
    <w:p>
      <w:r>
        <w:t xml:space="preserve"/>
      </w:r>
    </w:p>
    <w:p>
      <w:pPr>
        <w:ind w:left="360" w:hanging="180"/>
        <w:spacing w:after="40"/>
      </w:pPr>
      <w:r>
        <w:t xml:space="preserve">• </w:t>
      </w:r>
      <w:r>
        <w:t xml:space="preserve">This is the first physiotherapy appointment recorded by the patient.</w:t>
      </w:r>
    </w:p>
    <w:p>
      <w:pPr>
        <w:ind w:left="360" w:hanging="180"/>
        <w:spacing w:after="40"/>
      </w:pPr>
      <w:r>
        <w:t xml:space="preserve">• </w:t>
      </w:r>
      <w:r>
        <w:t xml:space="preserve">A printed home-exercise programme was provided, with handwritten adjustments to repetitions after assessment.</w:t>
      </w:r>
    </w:p>
    <w:p>
      <w:pPr>
        <w:ind w:left="360" w:hanging="180"/>
        <w:spacing w:after="40"/>
      </w:pPr>
      <w:r>
        <w:t xml:space="preserve">• </w:t>
      </w:r>
      <w:r>
        <w:t xml:space="preserve">The patient recalls the instructions as:</w:t>
      </w:r>
    </w:p>
    <w:p>
      <w:pPr>
        <w:ind w:left="720" w:hanging="180"/>
        <w:spacing w:after="40"/>
      </w:pPr>
      <w:r>
        <w:t xml:space="preserve">• </w:t>
      </w:r>
      <w:r>
        <w:t xml:space="preserve">perform exercises twice daily (morning and evening);</w:t>
      </w:r>
    </w:p>
    <w:p>
      <w:pPr>
        <w:ind w:left="720" w:hanging="180"/>
        <w:spacing w:after="40"/>
      </w:pPr>
      <w:r>
        <w:t xml:space="preserve">• </w:t>
      </w:r>
      <w:r>
        <w:t xml:space="preserve">complete approximately two exercises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(for example, Ibuleve).</w:t>
      </w:r>
    </w:p>
    <w:p>
      <w:pPr>
        <w:ind w:left="360" w:hanging="180"/>
        <w:spacing w:after="40"/>
      </w:pPr>
      <w:r>
        <w:t xml:space="preserve">• </w:t>
      </w:r>
      <w:r>
        <w:t xml:space="preserve">The patient subsequently obtained an approximately 12-inch loop resistance band and followed the prescribed programme.</w:t>
      </w:r>
    </w:p>
    <w:p>
      <w:r>
        <w:t xml:space="preserve"/>
      </w:r>
    </w:p>
    <w:p>
      <w:pPr>
        <w:spacing w:before="120" w:after="80"/>
      </w:pPr>
      <w:bookmarkStart w:id="10" w:name="date_to_be_confirmed_after_november_2025"/>
      <w:r>
        <w:rPr>
          <w:b/>
          <w:sz w:val="32"/>
          <w:szCs w:val="32"/>
        </w:rPr>
        <w:t xml:space="preserve">Date to be confirmed (after November 2025) – Home exercise programme and first use of Ibuleve</w:t>
      </w:r>
      <w:bookmarkEnd w:id="10"/>
    </w:p>
    <w:p>
      <w:r>
        <w:t xml:space="preserve"/>
      </w:r>
    </w:p>
    <w:p>
      <w:pPr>
        <w:ind w:left="360" w:hanging="180"/>
        <w:spacing w:after="40"/>
      </w:pPr>
      <w:r>
        <w:t xml:space="preserve">• </w:t>
      </w:r>
      <w:r>
        <w:t xml:space="preserve">The patient continued the prescribed home-exercise programme.</w:t>
      </w:r>
    </w:p>
    <w:p>
      <w:pPr>
        <w:ind w:left="360" w:hanging="180"/>
        <w:spacing w:after="40"/>
      </w:pPr>
      <w:r>
        <w:t xml:space="preserve">• </w:t>
      </w:r>
      <w:r>
        <w:t xml:space="preserve">Before first using Ibuleve, symptoms remained intermittent, including:</w:t>
      </w:r>
    </w:p>
    <w:p>
      <w:pPr>
        <w:ind w:left="720" w:hanging="180"/>
        <w:spacing w:after="40"/>
      </w:pPr>
      <w:r>
        <w:t xml:space="preserve">• </w:t>
      </w:r>
      <w:r>
        <w:t xml:space="preserve">occasional pain when using stairs;</w:t>
      </w:r>
    </w:p>
    <w:p>
      <w:pPr>
        <w:ind w:left="720" w:hanging="180"/>
        <w:spacing w:after="40"/>
      </w:pPr>
      <w:r>
        <w:t xml:space="preserve">• </w:t>
      </w:r>
      <w:r>
        <w:t xml:space="preserve">discomfort or reduced confidence while kneeling on the right knee.</w:t>
      </w:r>
    </w:p>
    <w:p>
      <w:pPr>
        <w:ind w:left="360" w:hanging="180"/>
        <w:spacing w:after="40"/>
      </w:pPr>
      <w:r>
        <w:t xml:space="preserve">• </w:t>
      </w:r>
      <w:r>
        <w:t xml:space="preserve">Approximately five to seven days after a physiotherapy follow-up appointment (exact date unknown), the patient:</w:t>
      </w:r>
    </w:p>
    <w:p>
      <w:pPr>
        <w:ind w:left="720" w:hanging="180"/>
        <w:spacing w:after="40"/>
      </w:pPr>
      <w:r>
        <w:t xml:space="preserve">• </w:t>
      </w:r>
      <w:r>
        <w:t xml:space="preserve">applied heat to both feet;</w:t>
      </w:r>
    </w:p>
    <w:p>
      <w:pPr>
        <w:ind w:left="720" w:hanging="180"/>
        <w:spacing w:after="40"/>
      </w:pPr>
      <w:r>
        <w:t xml:space="preserve">• </w:t>
      </w:r>
      <w:r>
        <w:t xml:space="preserve">applied Ibuleve gel around the right knee for the first time;</w:t>
      </w:r>
    </w:p>
    <w:p>
      <w:pPr>
        <w:ind w:left="720" w:hanging="180"/>
        <w:spacing w:after="40"/>
      </w:pPr>
      <w:r>
        <w:t xml:space="preserve">• </w:t>
      </w:r>
      <w:r>
        <w:t xml:space="preserve">completed the usual home exercises.</w:t>
      </w:r>
    </w:p>
    <w:p>
      <w:pPr>
        <w:ind w:left="360" w:hanging="180"/>
        <w:spacing w:after="40"/>
      </w:pPr>
      <w:r>
        <w:t xml:space="preserve">• </w:t>
      </w:r>
      <w:r>
        <w:t xml:space="preserve">During that session, the patient noticed a mild, unfamiliar aching or weak sensation on the inner aspect of the right knee. This was not severe pain.</w:t>
      </w:r>
    </w:p>
    <w:p>
      <w:pPr>
        <w:ind w:left="360" w:hanging="180"/>
        <w:spacing w:after="40"/>
      </w:pPr>
      <w:r>
        <w:t xml:space="preserve">• </w:t>
      </w:r>
      <w:r>
        <w:t xml:space="preserve">This document records the event only. Any explanation for symptom improvement or treatment mechanism should be determined by the treating clinician.</w:t>
      </w:r>
    </w:p>
    <w:p>
      <w:r>
        <w:t xml:space="preserve"/>
      </w:r>
    </w:p>
    <w:p>
      <w:pPr>
        <w:spacing w:before="120" w:after="80"/>
      </w:pPr>
      <w:bookmarkStart w:id="11" w:name="section_9_february_2026_first_contact_pr"/>
      <w:r>
        <w:rPr>
          <w:b/>
          <w:sz w:val="32"/>
          <w:szCs w:val="32"/>
        </w:rPr>
        <w:t xml:space="preserve">9 February 2026 – First Contact Practitioner (FCP) assessment</w:t>
      </w:r>
      <w:bookmarkEnd w:id="11"/>
    </w:p>
    <w:p>
      <w:r>
        <w:t xml:space="preserve"/>
      </w:r>
    </w:p>
    <w:p>
      <w:pPr>
        <w:ind w:left="360" w:hanging="180"/>
        <w:spacing w:after="40"/>
      </w:pPr>
      <w:r>
        <w:t xml:space="preserve">• </w:t>
      </w:r>
      <w:r>
        <w:t xml:space="preserve">The patient has downloaded the complete NHS FCP assessment and will bring the original record for clinical reference.</w:t>
      </w:r>
    </w:p>
    <w:p>
      <w:pPr>
        <w:ind w:left="360" w:hanging="180"/>
        <w:spacing w:after="40"/>
      </w:pPr>
      <w:r>
        <w:t xml:space="preserve">• </w:t>
      </w:r>
      <w:r>
        <w:t xml:space="preserve">The FCP record noted outward alignment of the right knee and lower limb.</w:t>
      </w:r>
    </w:p>
    <w:p>
      <w:pPr>
        <w:ind w:left="360" w:hanging="180"/>
        <w:spacing w:after="40"/>
      </w:pPr>
      <w:r>
        <w:t xml:space="preserve">• </w:t>
      </w:r>
      <w:r>
        <w:t xml:space="preserve">After reading the report, the patient compared both sides more carefully and noticed apparent differences in appearance and/or movement between the knees and calves.</w:t>
      </w:r>
    </w:p>
    <w:p>
      <w:pPr>
        <w:ind w:left="360" w:hanging="180"/>
        <w:spacing w:after="40"/>
      </w:pPr>
      <w:r>
        <w:t xml:space="preserve">• </w:t>
      </w:r>
      <w:r>
        <w:t xml:space="preserve">This timeline does not reproduce the FCP findings. The original FCP record should be regarded as the primary source.</w:t>
      </w:r>
    </w:p>
    <w:p>
      <w:r>
        <w:t xml:space="preserve"/>
      </w:r>
    </w:p>
    <w:p>
      <w:pPr>
        <w:spacing w:before="120" w:after="80"/>
      </w:pPr>
      <w:bookmarkStart w:id="12" w:name="section_22_february_to_27_february_2026_"/>
      <w:r>
        <w:rPr>
          <w:b/>
          <w:sz w:val="32"/>
          <w:szCs w:val="32"/>
        </w:rPr>
        <w:t xml:space="preserve">22 February to 27 February 2026 and afterwards – Acute low-back pain and hand-wound episode</w:t>
      </w:r>
      <w:bookmarkEnd w:id="12"/>
    </w:p>
    <w:p>
      <w:r>
        <w:t xml:space="preserve"/>
      </w:r>
    </w:p>
    <w:p>
      <w:pPr>
        <w:ind w:left="360" w:hanging="180"/>
        <w:spacing w:after="40"/>
      </w:pPr>
      <w:r>
        <w:t xml:space="preserve">• </w:t>
      </w:r>
      <w:r>
        <w:t xml:space="preserve">While the long-standing right lower-limb problem continued, the patient experienced an unrelated short-term event involving:</w:t>
      </w:r>
    </w:p>
    <w:p>
      <w:pPr>
        <w:ind w:left="720" w:hanging="180"/>
        <w:spacing w:after="40"/>
      </w:pPr>
      <w:r>
        <w:t xml:space="preserve">• </w:t>
      </w:r>
      <w:r>
        <w:t xml:space="preserve">acute low-back pain;</w:t>
      </w:r>
    </w:p>
    <w:p>
      <w:pPr>
        <w:ind w:left="720" w:hanging="180"/>
        <w:spacing w:after="40"/>
      </w:pPr>
      <w:r>
        <w:t xml:space="preserve">• </w:t>
      </w:r>
      <w:r>
        <w:t xml:space="preserve">a wound on the back of the hand;</w:t>
      </w:r>
    </w:p>
    <w:p>
      <w:pPr>
        <w:ind w:left="720" w:hanging="180"/>
        <w:spacing w:after="40"/>
      </w:pPr>
      <w:r>
        <w:t xml:space="preserve">• </w:t>
      </w:r>
      <w:r>
        <w:t xml:space="preserve">MIU/UTC attendance;</w:t>
      </w:r>
    </w:p>
    <w:p>
      <w:pPr>
        <w:ind w:left="720" w:hanging="180"/>
        <w:spacing w:after="40"/>
      </w:pPr>
      <w:r>
        <w:t xml:space="preserve">• </w:t>
      </w:r>
      <w:r>
        <w:t xml:space="preserve">subsequent GP follow-up.</w:t>
      </w:r>
    </w:p>
    <w:p>
      <w:pPr>
        <w:ind w:left="360" w:hanging="180"/>
        <w:spacing w:after="40"/>
      </w:pPr>
      <w:r>
        <w:t xml:space="preserve">• </w:t>
      </w:r>
      <w:r>
        <w:t xml:space="preserve">Details are provided in the separate </w:t>
      </w:r>
      <w:r>
        <w:rPr>
          <w:b/>
        </w:rPr>
        <w:t xml:space="preserve">Lift Movement and Pain Synchronisation Record</w:t>
      </w:r>
      <w:r>
        <w:t xml:space="preserve">.</w:t>
      </w:r>
    </w:p>
    <w:p>
      <w:pPr>
        <w:ind w:left="360" w:hanging="180"/>
        <w:spacing w:after="40"/>
      </w:pPr>
      <w:r>
        <w:t xml:space="preserve">• </w:t>
      </w:r>
      <w:r>
        <w:t xml:space="preserve">According to the patient's recollection, the GP advised against seeking osteopathic treatment for the pre-existing lower-limb problem at that time and considered that the acute low-back pain might be related to the underlying lower-limb condition.</w:t>
      </w:r>
    </w:p>
    <w:p>
      <w:pPr>
        <w:ind w:left="360" w:hanging="180"/>
        <w:spacing w:after="40"/>
      </w:pPr>
      <w:r>
        <w:t xml:space="preserve">• </w:t>
      </w:r>
      <w:r>
        <w:t xml:space="preserve">This document does not establish a causal relationship. Any relationship should be determined by the MSK clinician.</w:t>
      </w:r>
    </w:p>
    <w:p>
      <w:r>
        <w:t xml:space="preserve"/>
      </w:r>
    </w:p>
    <w:p>
      <w:pPr>
        <w:spacing w:before="120" w:after="80"/>
      </w:pPr>
      <w:bookmarkStart w:id="13" w:name="section_2_july_2026_community_musculoske"/>
      <w:r>
        <w:rPr>
          <w:b/>
          <w:sz w:val="32"/>
          <w:szCs w:val="32"/>
        </w:rPr>
        <w:t xml:space="preserve">2 July 2026 – Community Musculoskeletal Services APP appointment</w:t>
      </w:r>
      <w:bookmarkEnd w:id="13"/>
    </w:p>
    <w:p>
      <w:r>
        <w:t xml:space="preserve"/>
      </w:r>
    </w:p>
    <w:p>
      <w:pPr>
        <w:ind w:left="360" w:hanging="180"/>
        <w:spacing w:after="40"/>
      </w:pPr>
      <w:r>
        <w:t xml:space="preserve">• </w:t>
      </w:r>
      <w:r>
        <w:t xml:space="preserve">The patient attended a Community Musculoskeletal Services APP appointment on 2 July 2026.</w:t>
      </w:r>
    </w:p>
    <w:p>
      <w:pPr>
        <w:ind w:left="360" w:hanging="180"/>
        <w:spacing w:after="40"/>
      </w:pPr>
      <w:r>
        <w:t xml:space="preserve">• </w:t>
      </w:r>
      <w:r>
        <w:t xml:space="preserve">This timeline and the accompanying </w:t>
      </w:r>
      <w:r>
        <w:rPr>
          <w:b/>
        </w:rPr>
        <w:t xml:space="preserve">Lift Movement and Pain Synchronisation Record</w:t>
      </w:r>
      <w:r>
        <w:t xml:space="preserve"> had been prepared to support that appointment.</w:t>
      </w:r>
    </w:p>
    <w:p>
      <w:pPr>
        <w:ind w:left="360" w:hanging="180"/>
        <w:spacing w:after="40"/>
      </w:pPr>
      <w:r>
        <w:t xml:space="preserve">• </w:t>
      </w:r>
      <w:r>
        <w:t xml:space="preserve">The following questions were submitted to Community Musculoskeletal Services:</w:t>
      </w:r>
    </w:p>
    <w:p>
      <w:pPr>
        <w:ind w:left="720" w:hanging="180"/>
        <w:spacing w:after="40"/>
      </w:pPr>
      <w:r>
        <w:t xml:space="preserve">• </w:t>
      </w:r>
      <w:r>
        <w:t xml:space="preserve">the ongoing right lower-limb and right-knee symptoms;</w:t>
      </w:r>
    </w:p>
    <w:p>
      <w:pPr>
        <w:ind w:left="720" w:hanging="180"/>
        <w:spacing w:after="40"/>
      </w:pPr>
      <w:r>
        <w:t xml:space="preserve">• </w:t>
      </w:r>
      <w:r>
        <w:t xml:space="preserve">apparent asymmetry involving the knees, lower limbs, calves, feet, muscle bulk, strength, gait, or movement control;</w:t>
      </w:r>
    </w:p>
    <w:p>
      <w:pPr>
        <w:ind w:left="720" w:hanging="180"/>
        <w:spacing w:after="40"/>
      </w:pPr>
      <w:r>
        <w:t xml:space="preserve">• </w:t>
      </w:r>
      <w:r>
        <w:t xml:space="preserve">altered sensation on the top of the right foot when using stairs;</w:t>
      </w:r>
    </w:p>
    <w:p>
      <w:pPr>
        <w:ind w:left="720" w:hanging="180"/>
        <w:spacing w:after="40"/>
      </w:pPr>
      <w:r>
        <w:t xml:space="preserve">• </w:t>
      </w:r>
      <w:r>
        <w:t xml:space="preserve">whether the previous acute low-back-pain episode might be related to the longstanding lower-limb problem;</w:t>
      </w:r>
    </w:p>
    <w:p>
      <w:pPr>
        <w:ind w:left="720" w:hanging="180"/>
        <w:spacing w:after="40"/>
      </w:pPr>
      <w:r>
        <w:t xml:space="preserve">• </w:t>
      </w:r>
      <w:r>
        <w:t xml:space="preserve">whether the rehabilitation and loading plan was appropriate;</w:t>
      </w:r>
    </w:p>
    <w:p>
      <w:pPr>
        <w:ind w:left="720" w:hanging="180"/>
        <w:spacing w:after="40"/>
      </w:pPr>
      <w:r>
        <w:t xml:space="preserve">• </w:t>
      </w:r>
      <w:r>
        <w:t xml:space="preserve">when it might be appropriate to return to stairs, kneeling, squatting, running, or higher-load activities.</w:t>
      </w:r>
    </w:p>
    <w:p>
      <w:pPr>
        <w:ind w:left="360" w:hanging="180"/>
        <w:spacing w:after="40"/>
      </w:pPr>
      <w:r>
        <w:t xml:space="preserve">• </w:t>
      </w:r>
      <w:r>
        <w:t xml:space="preserve">The outcome of the assessment and the effectiveness of the subsequent exercise programme are not yet known.</w:t>
      </w:r>
    </w:p>
    <w:p>
      <w:pPr>
        <w:ind w:left="360" w:hanging="180"/>
        <w:spacing w:after="40"/>
      </w:pPr>
      <w:r>
        <w:t xml:space="preserve">• </w:t>
      </w:r>
      <w:r>
        <w:t xml:space="preserve">A new programme of physical activities was started following the appointment.</w:t>
      </w:r>
    </w:p>
    <w:p>
      <w:r>
        <w:t xml:space="preserve"/>
      </w:r>
    </w:p>
    <w:p>
      <w:pPr>
        <w:spacing w:before="120" w:after="80"/>
      </w:pPr>
      <w:bookmarkStart w:id="14" w:name="section_10_july_2026_new_symptoms_and_su"/>
      <w:r>
        <w:rPr>
          <w:b/>
          <w:sz w:val="32"/>
          <w:szCs w:val="32"/>
        </w:rPr>
        <w:t xml:space="preserve">10 July 2026 – New symptoms and supporting-record update</w:t>
      </w:r>
      <w:bookmarkEnd w:id="14"/>
    </w:p>
    <w:p>
      <w:r>
        <w:t xml:space="preserve"/>
      </w:r>
    </w:p>
    <w:p>
      <w:pPr>
        <w:ind w:left="360" w:hanging="180"/>
        <w:spacing w:after="40"/>
      </w:pPr>
      <w:r>
        <w:t xml:space="preserve">• </w:t>
      </w:r>
      <w:r>
        <w:t xml:space="preserve">Since the previous version of this timeline, additional symptoms have developed and are documented in separate supporting records prepared for the planned consultation.</w:t>
      </w:r>
    </w:p>
    <w:p>
      <w:pPr>
        <w:ind w:left="360" w:hanging="180"/>
        <w:spacing w:after="40"/>
      </w:pPr>
      <w:r>
        <w:t xml:space="preserve">• </w:t>
      </w:r>
      <w:r>
        <w:t xml:space="preserve">These include excessive thirst, increased water intake, increased urination, marked fatigue, and a strong craving for salt.</w:t>
      </w:r>
    </w:p>
    <w:p>
      <w:pPr>
        <w:ind w:left="360" w:hanging="180"/>
        <w:spacing w:after="40"/>
      </w:pPr>
      <w:r>
        <w:t xml:space="preserve">• </w:t>
      </w:r>
      <w:r>
        <w:t xml:space="preserve">Updated information regarding the recurrent dorsal-hand skin changes and the previous suspected medicine reaction is provided in a separate supporting record.</w:t>
      </w:r>
    </w:p>
    <w:p>
      <w:pPr>
        <w:ind w:left="360" w:hanging="180"/>
        <w:spacing w:after="40"/>
      </w:pPr>
      <w:r>
        <w:t xml:space="preserve">• </w:t>
      </w:r>
      <w:r>
        <w:t xml:space="preserve">This timeline intentionally provides only a summary of these developments. The accompanying supporting documents contain the detailed chronology and patient observations.</w:t>
      </w:r>
    </w:p>
    <w:p>
      <w:r>
        <w:t xml:space="preserve"/>
      </w:r>
    </w:p>
    <w:p>
      <w:pPr>
        <w:spacing w:before="120" w:after="80"/>
      </w:pPr>
      <w:bookmarkStart w:id="15" w:name="questions_requests"/>
      <w:r>
        <w:rPr>
          <w:b/>
          <w:sz w:val="36"/>
          <w:szCs w:val="36"/>
        </w:rPr>
        <w:t xml:space="preserve">Questions / Requests</w:t>
      </w:r>
      <w:bookmarkEnd w:id="15"/>
    </w:p>
    <w:p>
      <w:r>
        <w:t xml:space="preserve"/>
      </w:r>
    </w:p>
    <w:p>
      <w:r>
        <w:t xml:space="preserve">None.</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supporting_records"/>
      <w:r>
        <w:rPr>
          <w:b/>
          <w:sz w:val="32"/>
          <w:szCs w:val="32"/>
        </w:rPr>
        <w:t xml:space="preserve">Supporting records</w:t>
      </w:r>
      <w:bookmarkEnd w:id="17"/>
    </w:p>
    <w:p>
      <w:r>
        <w:t xml:space="preserve"/>
      </w:r>
    </w:p>
    <w:p>
      <w:pPr>
        <w:ind w:left="360" w:hanging="180"/>
        <w:spacing w:after="40"/>
      </w:pPr>
      <w:r>
        <w:t xml:space="preserve">• </w:t>
      </w:r>
      <w:r>
        <w:t xml:space="preserve">Patient's self-organised right-knee records.</w:t>
      </w:r>
    </w:p>
    <w:p>
      <w:pPr>
        <w:ind w:left="360" w:hanging="180"/>
        <w:spacing w:after="40"/>
      </w:pPr>
      <w:r>
        <w:t xml:space="preserve">• </w:t>
      </w:r>
      <w:r>
        <w:t xml:space="preserve">Original NHS First Contact Practitioner (FCP) assessment dated </w:t>
      </w:r>
      <w:r>
        <w:rPr>
          <w:b/>
        </w:rPr>
        <w:t xml:space="preserve">9 February 2026</w:t>
      </w:r>
      <w:r>
        <w:t xml:space="preserve">.</w:t>
      </w:r>
    </w:p>
    <w:p>
      <w:pPr>
        <w:ind w:left="360" w:hanging="180"/>
        <w:spacing w:after="40"/>
      </w:pPr>
      <w:r>
        <w:t xml:space="preserve">• </w:t>
      </w:r>
      <w:r>
        <w:t xml:space="preserve">Physiotherapy home-exercise sheet and related notes, where available.</w:t>
      </w:r>
    </w:p>
    <w:p>
      <w:pPr>
        <w:ind w:left="360" w:hanging="180"/>
        <w:spacing w:after="40"/>
      </w:pPr>
      <w:r>
        <w:t xml:space="preserve">• </w:t>
      </w:r>
      <w:r>
        <w:t xml:space="preserve">UTC medicine labels and MIU/UTC/GP consultation records.</w:t>
      </w:r>
    </w:p>
    <w:p>
      <w:pPr>
        <w:ind w:left="360" w:hanging="180"/>
        <w:spacing w:after="40"/>
      </w:pPr>
      <w:r>
        <w:t xml:space="preserve">• </w:t>
      </w:r>
      <w:r>
        <w:rPr>
          <w:b/>
        </w:rPr>
        <w:t xml:space="preserve">Lift Movement and Pain Synchronisation Record</w:t>
      </w:r>
      <w:r>
        <w:t xml:space="preserve">.</w:t>
      </w:r>
    </w:p>
    <w:p>
      <w:pPr>
        <w:ind w:left="360" w:hanging="180"/>
        <w:spacing w:after="40"/>
      </w:pPr>
      <w:r>
        <w:t xml:space="preserve">• </w:t>
      </w:r>
      <w:r>
        <w:rPr>
          <w:b/>
        </w:rPr>
        <w:t xml:space="preserve">Excessive Thirst, Increased Urination and Salt Craving Record</w:t>
      </w:r>
      <w:r>
        <w:t xml:space="preserve">.</w:t>
      </w:r>
    </w:p>
    <w:p>
      <w:pPr>
        <w:ind w:left="360" w:hanging="180"/>
        <w:spacing w:after="40"/>
      </w:pPr>
      <w:r>
        <w:t xml:space="preserve">• </w:t>
      </w:r>
      <w:r>
        <w:rPr>
          <w:b/>
        </w:rPr>
        <w:t xml:space="preserve">Recurrent Hand Skin Changes and Suspected Naproxen Medicine Reaction Record</w:t>
      </w:r>
      <w:r>
        <w:t xml:space="preserve">.</w:t>
      </w:r>
    </w:p>
    <w:p>
      <w:r>
        <w:t xml:space="preserve"/>
      </w:r>
    </w:p>
    <w:p>
      <w:r>
        <w:t xml:space="preserve">This document is intended as a structured long-term clinical summary to support assessment.</w:t>
      </w:r>
    </w:p>
    <w:p>
      <w:r>
        <w:t xml:space="preserve"/>
      </w:r>
    </w:p>
    <w:p>
      <w:r>
        <w:t xml:space="preserve">It should be interpreted together with the patient's history, examination findings, and any original healthcare records available during the consultation.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