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
  <Relationship
    Id="rId1"
    Type="http://schemas.openxmlformats.org/officeDocument/2006/relationships/officeDocument"
    Target="word/document.xml"
  />
</Relationships>
</file>

<file path=word/document.xml><?xml version="1.0" encoding="utf-8"?>
<w:document xmlns:w="http://schemas.openxmlformats.org/wordprocessingml/2006/main" xmlns:r="http://schemas.openxmlformats.org/officeDocument/2006/relationships">
  <w:body>
    <w:p>
      <w:pPr>
        <w:spacing w:before="120" w:after="80"/>
      </w:pPr>
      <w:bookmarkStart w:id="1" w:name="gp_cover_letter_recurrent_hand_skin_chan"/>
      <w:r>
        <w:rPr>
          <w:b/>
          <w:sz w:val="40"/>
          <w:szCs w:val="40"/>
        </w:rPr>
        <w:t xml:space="preserve">GP Cover Letter: Recurrent Hand-Skin Changes, Suspected Medicine Reaction, and Separate Requests</w:t>
      </w:r>
      <w:bookmarkEnd w:id="1"/>
    </w:p>
    <w:p>
      <w:r>
        <w:t xml:space="preserve"/>
      </w:r>
    </w:p>
    <w:p>
      <w:r>
        <w:t xml:space="preserve">Date: Friday 3 July 2026</w:t>
      </w:r>
    </w:p>
    <w:p>
      <w:r>
        <w:t xml:space="preserve"/>
      </w:r>
    </w:p>
    <w:p>
      <w:r>
        <w:t xml:space="preserve">Type: Cover Letter</w:t>
      </w:r>
    </w:p>
    <w:p>
      <w:r>
        <w:t xml:space="preserve"/>
      </w:r>
    </w:p>
    <w:p>
      <w:pPr>
        <w:spacing w:before="120" w:after="80"/>
      </w:pPr>
      <w:bookmarkStart w:id="2" w:name="current_concerns"/>
      <w:r>
        <w:rPr>
          <w:b/>
          <w:sz w:val="36"/>
          <w:szCs w:val="36"/>
        </w:rPr>
        <w:t xml:space="preserve">Current concerns</w:t>
      </w:r>
      <w:bookmarkEnd w:id="2"/>
    </w:p>
    <w:p>
      <w:r>
        <w:t xml:space="preserve"/>
      </w:r>
    </w:p>
    <w:p>
      <w:r>
        <w:t xml:space="preserve">The order below reflects the matters I currently wish to raise.</w:t>
      </w:r>
    </w:p>
    <w:p>
      <w:r>
        <w:t xml:space="preserve"/>
      </w:r>
    </w:p>
    <w:p>
      <w:r>
        <w:t xml:space="preserve">The main matter for assessment during this consultation is item 1.</w:t>
      </w:r>
    </w:p>
    <w:p>
      <w:r>
        <w:t xml:space="preserve"/>
      </w:r>
    </w:p>
    <w:p>
      <w:r>
        <w:t xml:space="preserve">Item 2 concerns the appropriate documentation of a previous suspected medicine reaction and any precautions needed for future prescribing.</w:t>
      </w:r>
    </w:p>
    <w:p>
      <w:r>
        <w:t xml:space="preserve"/>
      </w:r>
    </w:p>
    <w:p>
      <w:r>
        <w:t xml:space="preserve">Items 3 and 4 are separate requests concerning questionnaires and possible dyslexia or another specific learning difficulty.</w:t>
      </w:r>
    </w:p>
    <w:p>
      <w:r>
        <w:t xml:space="preserve"/>
      </w:r>
    </w:p>
    <w:p>
      <w:r>
        <w:t xml:space="preserve">Item 5 is included for future discussion only and is not expected to be addressed fully during this consultation.</w:t>
      </w:r>
    </w:p>
    <w:p>
      <w:r>
        <w:t xml:space="preserve"/>
      </w:r>
    </w:p>
    <w:p>
      <w:pPr>
        <w:ind w:left="360" w:hanging="180"/>
        <w:spacing w:after="40"/>
      </w:pPr>
      <w:r>
        <w:t xml:space="preserve">1. </w:t>
      </w:r>
      <w:r>
        <w:t xml:space="preserve">Recurrent dorsal-hand skin changes.</w:t>
      </w:r>
    </w:p>
    <w:p>
      <w:pPr>
        <w:ind w:left="360" w:hanging="180"/>
        <w:spacing w:after="40"/>
      </w:pPr>
      <w:r>
        <w:t xml:space="preserve">2. </w:t>
      </w:r>
      <w:r>
        <w:t xml:space="preserve">Review and appropriate documentation of the previous suspected naproxen-related itchy rash.</w:t>
      </w:r>
    </w:p>
    <w:p>
      <w:pPr>
        <w:ind w:left="360" w:hanging="180"/>
        <w:spacing w:after="40"/>
      </w:pPr>
      <w:r>
        <w:t xml:space="preserve">3. </w:t>
      </w:r>
      <w:r>
        <w:t xml:space="preserve">Reissue of the ADHD questionnaire and AQ-10.</w:t>
      </w:r>
    </w:p>
    <w:p>
      <w:pPr>
        <w:ind w:left="360" w:hanging="180"/>
        <w:spacing w:after="40"/>
      </w:pPr>
      <w:r>
        <w:t xml:space="preserve">4. </w:t>
      </w:r>
      <w:r>
        <w:t xml:space="preserve">Advice on the assessment route for possible dyslexia or another specific learning difficulty.</w:t>
      </w:r>
    </w:p>
    <w:p>
      <w:pPr>
        <w:ind w:left="360" w:hanging="180"/>
        <w:spacing w:after="40"/>
      </w:pPr>
      <w:r>
        <w:t xml:space="preserve">5. </w:t>
      </w:r>
      <w:r>
        <w:t xml:space="preserve">DSD-related matters for future discussion.</w:t>
      </w:r>
    </w:p>
    <w:p>
      <w:r>
        <w:t xml:space="preserve"/>
      </w:r>
    </w:p>
    <w:p>
      <w:pPr>
        <w:spacing w:before="120" w:after="80"/>
      </w:pPr>
      <w:bookmarkStart w:id="3" w:name="details"/>
      <w:r>
        <w:rPr>
          <w:b/>
          <w:sz w:val="36"/>
          <w:szCs w:val="36"/>
        </w:rPr>
        <w:t xml:space="preserve">Details</w:t>
      </w:r>
      <w:bookmarkEnd w:id="3"/>
    </w:p>
    <w:p>
      <w:r>
        <w:t xml:space="preserve"/>
      </w:r>
    </w:p>
    <w:p>
      <w:pPr>
        <w:spacing w:before="120" w:after="80"/>
      </w:pPr>
      <w:bookmarkStart w:id="4" w:name="section_1_recurrent_dorsal_hand_skin_cha"/>
      <w:r>
        <w:rPr>
          <w:b/>
          <w:sz w:val="32"/>
          <w:szCs w:val="32"/>
        </w:rPr>
        <w:t xml:space="preserve">1. Recurrent dorsal-hand skin changes</w:t>
      </w:r>
      <w:bookmarkEnd w:id="4"/>
    </w:p>
    <w:p>
      <w:r>
        <w:t xml:space="preserve"/>
      </w:r>
    </w:p>
    <w:p>
      <w:r>
        <w:t xml:space="preserve">The original dorsal-hand wound is now essentially healed.</w:t>
      </w:r>
    </w:p>
    <w:p>
      <w:r>
        <w:t xml:space="preserve"/>
      </w:r>
    </w:p>
    <w:p>
      <w:r>
        <w:t xml:space="preserve">Since then, sesame-seed-sized spots or small raised skin changes have recurred within the same general dorsal-hand area. They have not always appeared at exactly the same point, and the precise position has shifted slightly between episodes.</w:t>
      </w:r>
    </w:p>
    <w:p>
      <w:r>
        <w:t xml:space="preserve"/>
      </w:r>
    </w:p>
    <w:p>
      <w:r>
        <w:t xml:space="preserve">I used Elocon 0.1% w/w ointment for approximately four to six days on three separate occasions. On each occasion, the visible changes cleared completely. Similar changes then recurred approximately three to four weeks after treatment stopped.</w:t>
      </w:r>
    </w:p>
    <w:p>
      <w:r>
        <w:t xml:space="preserve"/>
      </w:r>
    </w:p>
    <w:p>
      <w:r>
        <w:t xml:space="preserve">Although the current changes are less severe than the earlier episode, they appear similar to the earlier stage of that episode. Because I previously experienced a more severe progression, I am concerned about waiting for the problem to worsen before seeking review.</w:t>
      </w:r>
    </w:p>
    <w:p>
      <w:r>
        <w:t xml:space="preserve"/>
      </w:r>
    </w:p>
    <w:p>
      <w:r>
        <w:t xml:space="preserve">Because this cycle has occurred approximately three times, I would appreciate clinical advice before independently starting another course of Elocon.</w:t>
      </w:r>
    </w:p>
    <w:p>
      <w:r>
        <w:t xml:space="preserve"/>
      </w:r>
    </w:p>
    <w:p>
      <w:r>
        <w:t xml:space="preserve">In particular, I would like advice regarding:</w:t>
      </w:r>
    </w:p>
    <w:p>
      <w:r>
        <w:t xml:space="preserve"/>
      </w:r>
    </w:p>
    <w:p>
      <w:pPr>
        <w:ind w:left="360" w:hanging="180"/>
        <w:spacing w:after="40"/>
      </w:pPr>
      <w:r>
        <w:t xml:space="preserve">• </w:t>
      </w:r>
      <w:r>
        <w:t xml:space="preserve">what the recurrent skin changes may represent;</w:t>
      </w:r>
    </w:p>
    <w:p>
      <w:pPr>
        <w:ind w:left="360" w:hanging="180"/>
        <w:spacing w:after="40"/>
      </w:pPr>
      <w:r>
        <w:t xml:space="preserve">• </w:t>
      </w:r>
      <w:r>
        <w:t xml:space="preserve">whether the current management approach should change;</w:t>
      </w:r>
    </w:p>
    <w:p>
      <w:pPr>
        <w:ind w:left="360" w:hanging="180"/>
        <w:spacing w:after="40"/>
      </w:pPr>
      <w:r>
        <w:t xml:space="preserve">• </w:t>
      </w:r>
      <w:r>
        <w:t xml:space="preserve">whether a longer-term management plan is appropriate;</w:t>
      </w:r>
    </w:p>
    <w:p>
      <w:pPr>
        <w:ind w:left="360" w:hanging="180"/>
        <w:spacing w:after="40"/>
      </w:pPr>
      <w:r>
        <w:t xml:space="preserve">• </w:t>
      </w:r>
      <w:r>
        <w:t xml:space="preserve">whether Elocon should be used again;</w:t>
      </w:r>
    </w:p>
    <w:p>
      <w:pPr>
        <w:ind w:left="360" w:hanging="180"/>
        <w:spacing w:after="40"/>
      </w:pPr>
      <w:r>
        <w:t xml:space="preserve">• </w:t>
      </w:r>
      <w:r>
        <w:t xml:space="preserve">how long it should be used during each recurrence; and</w:t>
      </w:r>
    </w:p>
    <w:p>
      <w:pPr>
        <w:ind w:left="360" w:hanging="180"/>
        <w:spacing w:after="40"/>
      </w:pPr>
      <w:r>
        <w:t xml:space="preserve">• </w:t>
      </w:r>
      <w:r>
        <w:t xml:space="preserve">whether there is a maximum recommended duration for each course.</w:t>
      </w:r>
    </w:p>
    <w:p>
      <w:r>
        <w:t xml:space="preserve"/>
      </w:r>
    </w:p>
    <w:p>
      <w:r>
        <w:t xml:space="preserve">I have photographs of the current changes taken on 3 July 2026 and earlier photographs from a more severe episode for comparison.</w:t>
      </w:r>
    </w:p>
    <w:p>
      <w:r>
        <w:t xml:space="preserve"/>
      </w:r>
    </w:p>
    <w:p>
      <w:r>
        <w:t xml:space="preserve">The photographs record the appearance over time. They do not establish that the different events had the same diagnosis or cause.</w:t>
      </w:r>
    </w:p>
    <w:p>
      <w:r>
        <w:t xml:space="preserve"/>
      </w:r>
    </w:p>
    <w:p>
      <w:r>
        <w:t xml:space="preserve">Related document(s):</w:t>
      </w:r>
    </w:p>
    <w:p>
      <w:r>
        <w:t xml:space="preserve"/>
      </w:r>
    </w:p>
    <w:p>
      <w:pPr>
        <w:ind w:left="360" w:hanging="180"/>
        <w:spacing w:after="40"/>
      </w:pPr>
      <w:r>
        <w:t xml:space="preserve">• </w:t>
      </w:r>
      <w:r>
        <w:rPr>
          <w:b/>
        </w:rPr>
        <w:t xml:space="preserve">Recurrent Hand Skin Changes and Suspected Naproxen Medicine Reaction Record</w:t>
      </w:r>
    </w:p>
    <w:p>
      <w:r>
        <w:t xml:space="preserve"/>
      </w:r>
    </w:p>
    <w:p>
      <w:pPr>
        <w:spacing w:before="120" w:after="80"/>
      </w:pPr>
      <w:bookmarkStart w:id="5" w:name="section_2_previous_suspected_naproxen_me"/>
      <w:r>
        <w:rPr>
          <w:b/>
          <w:sz w:val="32"/>
          <w:szCs w:val="32"/>
        </w:rPr>
        <w:t xml:space="preserve">2. Previous suspected naproxen medicine reaction</w:t>
      </w:r>
      <w:bookmarkEnd w:id="5"/>
    </w:p>
    <w:p>
      <w:r>
        <w:t xml:space="preserve"/>
      </w:r>
    </w:p>
    <w:p>
      <w:r>
        <w:t xml:space="preserve">During the February 2026 acute episode, I developed numerous itchy red spots extending from the wrist towards the elbow while taking naproxen and flucloxacillin concurrently.</w:t>
      </w:r>
    </w:p>
    <w:p>
      <w:r>
        <w:t xml:space="preserve"/>
      </w:r>
    </w:p>
    <w:p>
      <w:r>
        <w:t xml:space="preserve">At a later GP review, I was advised to reduce naproxen.</w:t>
      </w:r>
    </w:p>
    <w:p>
      <w:r>
        <w:t xml:space="preserve"/>
      </w:r>
    </w:p>
    <w:p>
      <w:r>
        <w:t xml:space="preserve">I had taken the morning dose, attended the review around lunchtime, and did not take the evening dose. By the following morning, the rash and itch had improved markedly and were manageable, so I did not restart naproxen.</w:t>
      </w:r>
    </w:p>
    <w:p>
      <w:r>
        <w:t xml:space="preserve"/>
      </w:r>
    </w:p>
    <w:p>
      <w:r>
        <w:t xml:space="preserve">Flucloxacillin continued after naproxen was discontinued, including at a higher patient-recalled dose later in the course.</w:t>
      </w:r>
    </w:p>
    <w:p>
      <w:r>
        <w:t xml:space="preserve"/>
      </w:r>
    </w:p>
    <w:p>
      <w:r>
        <w:t xml:space="preserve">This timing makes naproxen my main suspected trigger. However, I understand that this does not confirm causation and does not completely exclude flucloxacillin.</w:t>
      </w:r>
    </w:p>
    <w:p>
      <w:r>
        <w:t xml:space="preserve"/>
      </w:r>
    </w:p>
    <w:p>
      <w:r>
        <w:t xml:space="preserve">I would appreciate advice regarding:</w:t>
      </w:r>
    </w:p>
    <w:p>
      <w:r>
        <w:t xml:space="preserve"/>
      </w:r>
    </w:p>
    <w:p>
      <w:pPr>
        <w:ind w:left="360" w:hanging="180"/>
        <w:spacing w:after="40"/>
      </w:pPr>
      <w:r>
        <w:t xml:space="preserve">• </w:t>
      </w:r>
      <w:r>
        <w:t xml:space="preserve">whether this suspected reaction should be recorded in my medical record;</w:t>
      </w:r>
    </w:p>
    <w:p>
      <w:pPr>
        <w:ind w:left="360" w:hanging="180"/>
        <w:spacing w:after="40"/>
      </w:pPr>
      <w:r>
        <w:t xml:space="preserve">• </w:t>
      </w:r>
      <w:r>
        <w:t xml:space="preserve">whether naproxen should be avoided in future;</w:t>
      </w:r>
    </w:p>
    <w:p>
      <w:pPr>
        <w:ind w:left="360" w:hanging="180"/>
        <w:spacing w:after="40"/>
      </w:pPr>
      <w:r>
        <w:t xml:space="preserve">• </w:t>
      </w:r>
      <w:r>
        <w:t xml:space="preserve">whether other NSAID medicines require any precautions; and</w:t>
      </w:r>
    </w:p>
    <w:p>
      <w:pPr>
        <w:ind w:left="360" w:hanging="180"/>
        <w:spacing w:after="40"/>
      </w:pPr>
      <w:r>
        <w:t xml:space="preserve">• </w:t>
      </w:r>
      <w:r>
        <w:t xml:space="preserve">whether any further drug-allergy assessment is needed.</w:t>
      </w:r>
    </w:p>
    <w:p>
      <w:r>
        <w:t xml:space="preserve"/>
      </w:r>
    </w:p>
    <w:p>
      <w:r>
        <w:t xml:space="preserve">Related document(s):</w:t>
      </w:r>
    </w:p>
    <w:p>
      <w:r>
        <w:t xml:space="preserve"/>
      </w:r>
    </w:p>
    <w:p>
      <w:pPr>
        <w:ind w:left="360" w:hanging="180"/>
        <w:spacing w:after="40"/>
      </w:pPr>
      <w:r>
        <w:t xml:space="preserve">• </w:t>
      </w:r>
      <w:r>
        <w:rPr>
          <w:b/>
        </w:rPr>
        <w:t xml:space="preserve">Recurrent Hand Skin Changes and Suspected Naproxen Medicine Reaction Record</w:t>
      </w:r>
    </w:p>
    <w:p>
      <w:pPr>
        <w:ind w:left="360" w:hanging="180"/>
        <w:spacing w:after="40"/>
      </w:pPr>
      <w:r>
        <w:t xml:space="preserve">• </w:t>
      </w:r>
      <w:r>
        <w:rPr>
          <w:b/>
        </w:rPr>
        <w:t xml:space="preserve">Lift Movement and Pain Synchronisation Record</w:t>
      </w:r>
    </w:p>
    <w:p>
      <w:r>
        <w:t xml:space="preserve"/>
      </w:r>
    </w:p>
    <w:p>
      <w:pPr>
        <w:spacing w:before="120" w:after="80"/>
      </w:pPr>
      <w:bookmarkStart w:id="6" w:name="section_3_adhd_questionnaire_and_aq_10"/>
      <w:r>
        <w:rPr>
          <w:b/>
          <w:sz w:val="32"/>
          <w:szCs w:val="32"/>
        </w:rPr>
        <w:t xml:space="preserve">3. ADHD questionnaire and AQ-10</w:t>
      </w:r>
      <w:bookmarkEnd w:id="6"/>
    </w:p>
    <w:p>
      <w:r>
        <w:t xml:space="preserve"/>
      </w:r>
    </w:p>
    <w:p>
      <w:pPr>
        <w:ind w:left="360" w:hanging="180"/>
        <w:spacing w:after="40"/>
      </w:pPr>
      <w:r>
        <w:t xml:space="preserve">• </w:t>
      </w:r>
      <w:r>
        <w:t xml:space="preserve">Please could the ADHD questionnaire be reissued, as I was unable to complete it within seven days.</w:t>
      </w:r>
    </w:p>
    <w:p>
      <w:pPr>
        <w:ind w:left="360" w:hanging="180"/>
        <w:spacing w:after="40"/>
      </w:pPr>
      <w:r>
        <w:t xml:space="preserve">• </w:t>
      </w:r>
      <w:r>
        <w:t xml:space="preserve">Please could the AQ-10 questionnaire also be reissued.</w:t>
      </w:r>
    </w:p>
    <w:p>
      <w:r>
        <w:t xml:space="preserve"/>
      </w:r>
    </w:p>
    <w:p>
      <w:pPr>
        <w:spacing w:before="120" w:after="80"/>
      </w:pPr>
      <w:bookmarkStart w:id="7" w:name="section_4_possible_dyslexia_or_another_s"/>
      <w:r>
        <w:rPr>
          <w:b/>
          <w:sz w:val="32"/>
          <w:szCs w:val="32"/>
        </w:rPr>
        <w:t xml:space="preserve">4. Possible dyslexia or another specific learning difficulty</w:t>
      </w:r>
      <w:bookmarkEnd w:id="7"/>
    </w:p>
    <w:p>
      <w:r>
        <w:t xml:space="preserve"/>
      </w:r>
    </w:p>
    <w:p>
      <w:r>
        <w:t xml:space="preserve">I would like advice on the appropriate assessment route for possible dyslexia or another specific learning difficulty.</w:t>
      </w:r>
    </w:p>
    <w:p>
      <w:r>
        <w:t xml:space="preserve"/>
      </w:r>
    </w:p>
    <w:p>
      <w:r>
        <w:t xml:space="preserve">I have ongoing difficulties with reading and written language, particularly written English. These difficulties may affect future study requirements.</w:t>
      </w:r>
    </w:p>
    <w:p>
      <w:r>
        <w:t xml:space="preserve"/>
      </w:r>
    </w:p>
    <w:p>
      <w:r>
        <w:t xml:space="preserve">I understand that assessment or educational support may need to be arranged through an educational institution or another service rather than through the GP. I would appreciate clarification regarding the most appropriate next step.</w:t>
      </w:r>
    </w:p>
    <w:p>
      <w:r>
        <w:t xml:space="preserve"/>
      </w:r>
    </w:p>
    <w:p>
      <w:pPr>
        <w:spacing w:before="120" w:after="80"/>
      </w:pPr>
      <w:bookmarkStart w:id="8" w:name="section_5_dsd_related_matters"/>
      <w:r>
        <w:rPr>
          <w:b/>
          <w:sz w:val="32"/>
          <w:szCs w:val="32"/>
        </w:rPr>
        <w:t xml:space="preserve">5. DSD-related matters</w:t>
      </w:r>
      <w:bookmarkEnd w:id="8"/>
    </w:p>
    <w:p>
      <w:r>
        <w:t xml:space="preserve"/>
      </w:r>
    </w:p>
    <w:p>
      <w:r>
        <w:t xml:space="preserve">I also have DSD-related matters that I would like to discuss separately when I have more capacity.</w:t>
      </w:r>
    </w:p>
    <w:p>
      <w:r>
        <w:t xml:space="preserve"/>
      </w:r>
    </w:p>
    <w:p>
      <w:r>
        <w:t xml:space="preserve">This is a substantial topic and is not expected to be addressed fully during this consultation.</w:t>
      </w:r>
    </w:p>
    <w:p>
      <w:r>
        <w:t xml:space="preserve"/>
      </w:r>
    </w:p>
    <w:p>
      <w:r>
        <w:t xml:space="preserve">I am including it so that it can be considered during future care, referral planning, or prescribing decisions where relevant.</w:t>
      </w:r>
    </w:p>
    <w:p>
      <w:r>
        <w:t xml:space="preserve"/>
      </w:r>
    </w:p>
    <w:p>
      <w:pPr>
        <w:spacing w:before="120" w:after="80"/>
      </w:pPr>
      <w:bookmarkStart w:id="9" w:name="notes"/>
      <w:r>
        <w:rPr>
          <w:b/>
          <w:sz w:val="36"/>
          <w:szCs w:val="36"/>
        </w:rPr>
        <w:t xml:space="preserve">Notes</w:t>
      </w:r>
      <w:bookmarkEnd w:id="9"/>
    </w:p>
    <w:p>
      <w:r>
        <w:t xml:space="preserve"/>
      </w:r>
    </w:p>
    <w:p>
      <w:r>
        <w:t xml:space="preserve">Plain-text versions of the related documents are available at:</w:t>
      </w:r>
    </w:p>
    <w:p>
      <w:r>
        <w:t xml:space="preserve"/>
      </w:r>
    </w:p>
    <w:p>
      <w:hyperlink r:id="rId1">
        <w:r>
          <w:rPr>
            <w:b/>
          </w:rPr>
          <w:t xml:space="preserve">https://gp123.pages.dev/</w:t>
        </w:r>
      </w:hyperlink>
    </w:p>
    <w:p>
      <w:r>
        <w:t xml:space="preserve"/>
      </w:r>
    </w:p>
    <w:p>
      <w:r>
        <w:t xml:space="preserve">The website contains patient-prepared plain-text documents only. Original NHS records, prescription labels, photographs, and other clinical records remain the primary supporting evidence where applicable.</w:t>
      </w:r>
    </w:p>
    <w:p>
      <w:r>
        <w:t xml:space="preserve"/>
      </w:r>
    </w:p>
    <w:p>
      <w:r>
        <w:t xml:space="preserve">Related documents include:</w:t>
      </w:r>
    </w:p>
    <w:p>
      <w:r>
        <w:t xml:space="preserve"/>
      </w:r>
    </w:p>
    <w:p>
      <w:pPr>
        <w:ind w:left="360" w:hanging="180"/>
        <w:spacing w:after="40"/>
      </w:pPr>
      <w:r>
        <w:t xml:space="preserve">• </w:t>
      </w:r>
      <w:r>
        <w:rPr>
          <w:b/>
        </w:rPr>
        <w:t xml:space="preserve">Recurrent Hand Skin Changes and Suspected Naproxen Medicine Reaction Record</w:t>
      </w:r>
    </w:p>
    <w:p>
      <w:pPr>
        <w:ind w:left="360" w:hanging="180"/>
        <w:spacing w:after="40"/>
      </w:pPr>
      <w:r>
        <w:t xml:space="preserve">• </w:t>
      </w:r>
      <w:r>
        <w:rPr>
          <w:b/>
        </w:rPr>
        <w:t xml:space="preserve">Lift Movement and Pain Synchronisation Record</w:t>
      </w:r>
    </w:p>
    <w:p>
      <w:pPr>
        <w:ind w:left="360" w:hanging="180"/>
        <w:spacing w:after="40"/>
      </w:pPr>
      <w:r>
        <w:t xml:space="preserve">• </w:t>
      </w:r>
      <w:r>
        <w:rPr>
          <w:b/>
        </w:rPr>
        <w:t xml:space="preserve">Long-Term Health Timeline</w:t>
      </w:r>
    </w:p>
    <w:p>
      <w:r>
        <w:t xml:space="preserve"/>
      </w:r>
    </w:p>
    <w:p>
      <w:r>
        <w:t xml:space="preserve">These documents record the observations that appeared relevant at the time of writing. They may not contain every detail that would be clinically useful.</w:t>
      </w:r>
    </w:p>
    <w:p>
      <w:r>
        <w:t xml:space="preserve"/>
      </w:r>
    </w:p>
    <w:p>
      <w:r>
        <w:t xml:space="preserve">Please ask me about any additional history or information that may assist the assessment.</w:t>
      </w:r>
    </w:p>
    <w:p>
      <w:r>
        <w:t xml:space="preserve"/>
      </w:r>
    </w:p>
    <w:p>
      <w:r>
        <w:t xml:space="preserve">Please feel free to copy, adapt, or retain any relevant information for clinical documentation or referral writing.</w:t>
      </w:r>
    </w:p>
    <w:p>
      <w:r>
        <w:t xml:space="preserve"/>
      </w:r>
    </w:p>
    <w:p>
      <w:r>
        <w:t xml:space="preserve">As I am not a healthcare professional, please verify any clinical information before relying on it.</w:t>
      </w:r>
    </w:p>
    <w:p>
      <w:r>
        <w:t xml:space="preserve"/>
      </w:r>
    </w:p>
    <w:p>
      <w:r>
        <w:t xml:space="preserve">Thank you for reviewing this information.</w:t>
      </w:r>
    </w:p>
    <w:p>
      <w:r>
        <w:t xml:space="preserve"/>
      </w:r>
    </w:p>
    <w:sectPr>
      <w:pgSz w:w="12240" w:h="15840"/>
      <w:pgMar w:top="1440" w:right="1440" w:bottom="1440" w:left="1440"/>
    </w:sectPr>
  </w:body>
</w:document>
</file>

<file path=word/_rels/document.xml.rels><?xml version="1.0" encoding="UTF-8" standalone="yes"?>
<Relationships
  xmlns="http://schemas.openxmlformats.org/package/2006/relationships"
>

  <Relationship
    Id="rId1"
    Type="http://schemas.openxmlformats.org/officeDocument/2006/relationships/hyperlink"
    Target="https://gp123.pages.dev/"
    TargetMode="External"
  />
</Relationships>
</file>