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
  xmlns="http://schemas.openxmlformats.org/package/2006/relationships"
>
  <Relationship
    Id="rId1"
    Type="http://schemas.openxmlformats.org/officeDocument/2006/relationships/officeDocument"
    Target="word/document.xml"
  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80"/>
      </w:pPr>
      <w:bookmarkStart w:id="1" w:name="lift_movement_and_pain_synchronisation_r"/>
      <w:r>
        <w:rPr>
          <w:b/>
          <w:sz w:val="40"/>
          <w:szCs w:val="40"/>
        </w:rPr>
        <w:t xml:space="preserve">Lift Movement and Pain Synchronisation Record</w:t>
      </w:r>
      <w:bookmarkEnd w:id="1"/>
    </w:p>
    <w:p>
      <w:r>
        <w:t xml:space="preserve"/>
      </w:r>
    </w:p>
    <w:p>
      <w:r>
        <w:t xml:space="preserve">Date: Friday 3 July 2026</w:t>
      </w:r>
    </w:p>
    <w:p>
      <w:r>
        <w:t xml:space="preserve"/>
      </w:r>
    </w:p>
    <w:p>
      <w:r>
        <w:t xml:space="preserve">Type: Letter</w:t>
      </w:r>
    </w:p>
    <w:p>
      <w:r>
        <w:t xml:space="preserve"/>
      </w:r>
    </w:p>
    <w:p>
      <w:pPr>
        <w:spacing w:before="120" w:after="80"/>
      </w:pPr>
      <w:bookmarkStart w:id="2" w:name="summary"/>
      <w:r>
        <w:rPr>
          <w:b/>
          <w:sz w:val="36"/>
          <w:szCs w:val="36"/>
        </w:rPr>
        <w:t xml:space="preserve">Summary</w:t>
      </w:r>
      <w:bookmarkEnd w:id="2"/>
    </w:p>
    <w:p>
      <w:r>
        <w:t xml:space="preserve"/>
      </w:r>
    </w:p>
    <w:p>
      <w:r>
        <w:t xml:space="preserve">This document records an unusual observation made during an episode of acute low-back pain in </w:t>
      </w:r>
      <w:r>
        <w:rPr>
          <w:b/>
        </w:rPr>
        <w:t xml:space="preserve">February 2026</w:t>
      </w:r>
      <w:r>
        <w:t xml:space="preserve">.</w:t>
      </w:r>
    </w:p>
    <w:p>
      <w:r>
        <w:t xml:space="preserve"/>
      </w:r>
    </w:p>
    <w:p>
      <w:r>
        <w:t xml:space="preserve">During attendance at an Urgent Treatment Centre (UTC), the patient perceived that changes in low-back-pain intensity appeared to be synchronised with the movement pattern of a hospital lift.</w:t>
      </w:r>
    </w:p>
    <w:p>
      <w:r>
        <w:t xml:space="preserve"/>
      </w:r>
    </w:p>
    <w:p>
      <w:r>
        <w:t xml:space="preserve">This document preserves the observation as accurately as possible for clinical reference. It does not propose a diagnosis or physiological mechanism.</w:t>
      </w:r>
    </w:p>
    <w:p>
      <w:r>
        <w:t xml:space="preserve"/>
      </w:r>
    </w:p>
    <w:p>
      <w:pPr>
        <w:spacing w:before="120" w:after="80"/>
      </w:pPr>
      <w:bookmarkStart w:id="3" w:name="background"/>
      <w:r>
        <w:rPr>
          <w:b/>
          <w:sz w:val="36"/>
          <w:szCs w:val="36"/>
        </w:rPr>
        <w:t xml:space="preserve">Background</w:t>
      </w:r>
      <w:bookmarkEnd w:id="3"/>
    </w:p>
    <w:p>
      <w:r>
        <w:t xml:space="preserve"/>
      </w:r>
    </w:p>
    <w:p>
      <w:pPr>
        <w:spacing w:before="120" w:after="80"/>
      </w:pPr>
      <w:bookmarkStart w:id="4" w:name="purpose_and_relationship_to_the_long_ter"/>
      <w:r>
        <w:rPr>
          <w:b/>
          <w:sz w:val="32"/>
          <w:szCs w:val="32"/>
        </w:rPr>
        <w:t xml:space="preserve">Purpose and relationship to the long-term health timeline</w:t>
      </w:r>
      <w:bookmarkEnd w:id="4"/>
    </w:p>
    <w:p>
      <w:r>
        <w:t xml:space="preserve"/>
      </w:r>
    </w:p>
    <w:p>
      <w:r>
        <w:t xml:space="preserve">This record describes an acute episode that occurred while the patient was already experiencing an ongoing right lower-limb / knee problem.</w:t>
      </w:r>
    </w:p>
    <w:p>
      <w:r>
        <w:t xml:space="preserve"/>
      </w:r>
    </w:p>
    <w:p>
      <w:r>
        <w:t xml:space="preserve">It is separate from the long-term health timeline because it documents an unusual patient-reported observation made during an episode involving an unresolved dorsal-hand wound, acute low-back pain, MIU/UTC attendance, and subsequent GP follow-up.</w:t>
      </w:r>
    </w:p>
    <w:p>
      <w:r>
        <w:t xml:space="preserve"/>
      </w:r>
    </w:p>
    <w:p>
      <w:r>
        <w:t xml:space="preserve">The patient later asked the GP whether osteopathic treatment would be appropriate for the pre-existing right lower-limb problem. According to the patient's recollection, the GP advised against seeking osteopathic treatment at that time and considered that the acute low-back pain and the pre-existing right lower-limb problem might be related.</w:t>
      </w:r>
    </w:p>
    <w:p>
      <w:r>
        <w:t xml:space="preserve"/>
      </w:r>
    </w:p>
    <w:p>
      <w:r>
        <w:t xml:space="preserve">This record does not state that the hand wound, low-back pain, or right lower-limb symptoms shared the same cause. It is intended to preserve the observation so that the MSK clinician may decide whether any part is relevant to the wider assessment.</w:t>
      </w:r>
    </w:p>
    <w:p>
      <w:r>
        <w:t xml:space="preserve"/>
      </w:r>
    </w:p>
    <w:p>
      <w:pPr>
        <w:spacing w:before="120" w:after="80"/>
      </w:pPr>
      <w:bookmarkStart w:id="5" w:name="relevant_background_before_the_acute_epi"/>
      <w:r>
        <w:rPr>
          <w:b/>
          <w:sz w:val="32"/>
          <w:szCs w:val="32"/>
        </w:rPr>
        <w:t xml:space="preserve">Relevant background before the acute episode</w:t>
      </w:r>
      <w:bookmarkEnd w:id="5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Since approximately </w:t>
      </w:r>
      <w:r>
        <w:rPr>
          <w:b/>
        </w:rPr>
        <w:t xml:space="preserve">September 2025</w:t>
      </w:r>
      <w:r>
        <w:t xml:space="preserve">, the patient had experienced intermittent right lower-limb / knee symptoms.</w:t>
      </w:r>
    </w:p>
    <w:p>
      <w:pPr>
        <w:ind w:left="360" w:hanging="180"/>
        <w:spacing w:after="40"/>
      </w:pPr>
      <w:r>
        <w:t xml:space="preserve">• </w:t>
      </w:r>
      <w:r>
        <w:t xml:space="preserve">The patient could walk and manage ordinary daily activities, but sometimes felt a need to move cautiously or compensate.</w:t>
      </w:r>
    </w:p>
    <w:p>
      <w:pPr>
        <w:ind w:left="360" w:hanging="180"/>
        <w:spacing w:after="40"/>
      </w:pPr>
      <w:r>
        <w:t xml:space="preserve">• </w:t>
      </w:r>
      <w:r>
        <w:t xml:space="preserve">Earlier symptoms mainly affected stairs, squatting, and kneeling. The long-term health timeline contains the full history.</w:t>
      </w:r>
    </w:p>
    <w:p>
      <w:r>
        <w:t xml:space="preserve"/>
      </w:r>
    </w:p>
    <w:p>
      <w:pPr>
        <w:spacing w:before="120" w:after="80"/>
      </w:pPr>
      <w:bookmarkStart w:id="6" w:name="details"/>
      <w:r>
        <w:rPr>
          <w:b/>
          <w:sz w:val="36"/>
          <w:szCs w:val="36"/>
        </w:rPr>
        <w:t xml:space="preserve">Details</w:t>
      </w:r>
      <w:bookmarkEnd w:id="6"/>
    </w:p>
    <w:p>
      <w:r>
        <w:t xml:space="preserve"/>
      </w:r>
    </w:p>
    <w:p>
      <w:pPr>
        <w:spacing w:before="120" w:after="80"/>
      </w:pPr>
      <w:bookmarkStart w:id="7" w:name="acute_episode_timeline"/>
      <w:r>
        <w:rPr>
          <w:b/>
          <w:sz w:val="32"/>
          <w:szCs w:val="32"/>
        </w:rPr>
        <w:t xml:space="preserve">Acute episode timeline</w:t>
      </w:r>
      <w:bookmarkEnd w:id="7"/>
    </w:p>
    <w:p>
      <w:r>
        <w:t xml:space="preserve"/>
      </w:r>
    </w:p>
    <w:p>
      <w:pPr>
        <w:spacing w:before="120" w:after="80"/>
      </w:pPr>
      <w:bookmarkStart w:id="8" w:name="sunday_22_february_2026_onset_of_low_bac"/>
      <w:r>
        <w:rPr>
          <w:b/>
          <w:sz w:val="28"/>
          <w:szCs w:val="28"/>
        </w:rPr>
        <w:t xml:space="preserve">Sunday 22 February 2026 – onset of low-back pain</w:t>
      </w:r>
      <w:bookmarkEnd w:id="8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During the evening, the patient developed acute low-back pain.</w:t>
      </w:r>
    </w:p>
    <w:p>
      <w:pPr>
        <w:ind w:left="360" w:hanging="180"/>
        <w:spacing w:after="40"/>
      </w:pPr>
      <w:r>
        <w:t xml:space="preserve">• </w:t>
      </w:r>
      <w:r>
        <w:t xml:space="preserve">The pain affected sleep that night.</w:t>
      </w:r>
    </w:p>
    <w:p>
      <w:pPr>
        <w:ind w:left="360" w:hanging="180"/>
        <w:spacing w:after="40"/>
      </w:pPr>
      <w:r>
        <w:t xml:space="preserve">• </w:t>
      </w:r>
      <w:r>
        <w:t xml:space="preserve">At the same time, there was an existing wound or skin lesion on the dorsum (back) of the hand.</w:t>
      </w:r>
    </w:p>
    <w:p>
      <w:pPr>
        <w:ind w:left="360" w:hanging="180"/>
        <w:spacing w:after="40"/>
      </w:pPr>
      <w:r>
        <w:t xml:space="preserve">• </w:t>
      </w:r>
      <w:r>
        <w:t xml:space="preserve">It had been present for some time and had not become smaller or fully healed, although it had previously been manageable.</w:t>
      </w:r>
    </w:p>
    <w:p>
      <w:r>
        <w:t xml:space="preserve"/>
      </w:r>
    </w:p>
    <w:p>
      <w:pPr>
        <w:spacing w:before="120" w:after="80"/>
      </w:pPr>
      <w:bookmarkStart w:id="9" w:name="monday_23_february_2026_miu_and_utc_atte"/>
      <w:r>
        <w:rPr>
          <w:b/>
          <w:sz w:val="28"/>
          <w:szCs w:val="28"/>
        </w:rPr>
        <w:t xml:space="preserve">Monday 23 February 2026 – MIU and UTC attendance</w:t>
      </w:r>
      <w:bookmarkEnd w:id="9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In the early morning, the patient researched available urgent services.</w:t>
      </w:r>
    </w:p>
    <w:p>
      <w:pPr>
        <w:ind w:left="360" w:hanging="180"/>
        <w:spacing w:after="40"/>
      </w:pPr>
      <w:r>
        <w:t xml:space="preserve">• </w:t>
      </w:r>
      <w:r>
        <w:t xml:space="preserve">The patient first attended a Minor Injuries Unit (MIU).</w:t>
      </w:r>
    </w:p>
    <w:p>
      <w:pPr>
        <w:ind w:left="360" w:hanging="180"/>
        <w:spacing w:after="40"/>
      </w:pPr>
      <w:r>
        <w:t xml:space="preserve">• </w:t>
      </w:r>
      <w:r>
        <w:t xml:space="preserve">According to the patient's recollection, the MIU did not offer treatment for the presenting problem and advised obtaining an over-the-counter topical product from a pharmacy.</w:t>
      </w:r>
    </w:p>
    <w:p>
      <w:pPr>
        <w:ind w:left="360" w:hanging="180"/>
        <w:spacing w:after="40"/>
      </w:pPr>
      <w:r>
        <w:t xml:space="preserve">• </w:t>
      </w:r>
      <w:r>
        <w:t xml:space="preserve">Because this did not appear sufficient for the hand wound and the patient was also experiencing acute low-back pain, the patient then attended an Urgent Treatment Centre (UTC).</w:t>
      </w:r>
    </w:p>
    <w:p>
      <w:pPr>
        <w:ind w:left="360" w:hanging="180"/>
        <w:spacing w:after="40"/>
      </w:pPr>
      <w:r>
        <w:t xml:space="preserve">• </w:t>
      </w:r>
      <w:r>
        <w:t xml:space="preserve">UTC prescription labels were dated 23 February 2026:</w:t>
      </w:r>
    </w:p>
    <w:p>
      <w:pPr>
        <w:ind w:left="720" w:hanging="180"/>
        <w:spacing w:after="40"/>
      </w:pPr>
      <w:r>
        <w:t xml:space="preserve">• </w:t>
      </w:r>
      <w:r>
        <w:t xml:space="preserve">Flucloxacillin 500 mg: 28 supplied; the patient recalls the initial instructions as four times daily.</w:t>
      </w:r>
    </w:p>
    <w:p>
      <w:pPr>
        <w:ind w:left="720" w:hanging="180"/>
        <w:spacing w:after="40"/>
      </w:pPr>
      <w:r>
        <w:t xml:space="preserve">• </w:t>
      </w:r>
      <w:r>
        <w:t xml:space="preserve">Naproxen 500 mg: 28 supplied; the patient recalls the initial instructions as twice daily.</w:t>
      </w:r>
    </w:p>
    <w:p>
      <w:pPr>
        <w:ind w:left="720" w:hanging="180"/>
        <w:spacing w:after="40"/>
      </w:pPr>
      <w:r>
        <w:t xml:space="preserve">• </w:t>
      </w:r>
      <w:r>
        <w:t xml:space="preserve">Omeprazole 20 mg: the patient recalls once daily.</w:t>
      </w:r>
    </w:p>
    <w:p>
      <w:pPr>
        <w:ind w:left="360" w:hanging="180"/>
        <w:spacing w:after="40"/>
      </w:pPr>
      <w:r>
        <w:t xml:space="preserve">• </w:t>
      </w:r>
      <w:r>
        <w:t xml:space="preserve">Exact duration, later antibiotic quantity, and any later dose change should be verified from medicine labels or the GP prescribing record.</w:t>
      </w:r>
    </w:p>
    <w:p>
      <w:r>
        <w:t xml:space="preserve"/>
      </w:r>
    </w:p>
    <w:p>
      <w:pPr>
        <w:spacing w:before="120" w:after="80"/>
      </w:pPr>
      <w:bookmarkStart w:id="10" w:name="friday_27_february_2026_pre_booked_gp_ap"/>
      <w:r>
        <w:rPr>
          <w:b/>
          <w:sz w:val="28"/>
          <w:szCs w:val="28"/>
        </w:rPr>
        <w:t xml:space="preserve">Friday 27 February 2026 – pre-booked GP appointment used for follow-up</w:t>
      </w:r>
      <w:bookmarkEnd w:id="10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patient had already booked this GP appointment before the acute episode.</w:t>
      </w:r>
    </w:p>
    <w:p>
      <w:pPr>
        <w:ind w:left="360" w:hanging="180"/>
        <w:spacing w:after="40"/>
      </w:pPr>
      <w:r>
        <w:t xml:space="preserve">• </w:t>
      </w:r>
      <w:r>
        <w:t xml:space="preserve">Because the hand wound still required review, the consultation focused mainly on the wound and antibiotic treatment.</w:t>
      </w:r>
    </w:p>
    <w:p>
      <w:pPr>
        <w:ind w:left="360" w:hanging="180"/>
        <w:spacing w:after="40"/>
      </w:pPr>
      <w:r>
        <w:t xml:space="preserve">• </w:t>
      </w:r>
      <w:r>
        <w:t xml:space="preserve">The patient felt that the initial antibiotic supply might not be enough for complete recovery and asked whether more treatment was needed.</w:t>
      </w:r>
    </w:p>
    <w:p>
      <w:pPr>
        <w:ind w:left="360" w:hanging="180"/>
        <w:spacing w:after="40"/>
      </w:pPr>
      <w:r>
        <w:t xml:space="preserve">• </w:t>
      </w:r>
      <w:r>
        <w:t xml:space="preserve">The GP issued additional flucloxacillin.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receiving two additional packs and later taking two tablets or capsules at a time, four times daily.</w:t>
      </w:r>
    </w:p>
    <w:p>
      <w:pPr>
        <w:ind w:left="360" w:hanging="180"/>
        <w:spacing w:after="40"/>
      </w:pPr>
      <w:r>
        <w:t xml:space="preserve">• </w:t>
      </w:r>
      <w:r>
        <w:t xml:space="preserve">The exact prescribed dose, duration, and total quantity should be verified from the labels or GP record.</w:t>
      </w:r>
    </w:p>
    <w:p>
      <w:r>
        <w:t xml:space="preserve"/>
      </w:r>
    </w:p>
    <w:p>
      <w:pPr>
        <w:spacing w:before="120" w:after="80"/>
      </w:pPr>
      <w:bookmarkStart w:id="11" w:name="later_gp_contact_wound_closure_and_discu"/>
      <w:r>
        <w:rPr>
          <w:b/>
          <w:sz w:val="28"/>
          <w:szCs w:val="28"/>
        </w:rPr>
        <w:t xml:space="preserve">Later GP contact — wound closure and discussion of right lower-limb symptoms</w:t>
      </w:r>
      <w:bookmarkEnd w:id="11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At a later contact after 27 February 2026, on a date the patient cannot now confirm, the hand wound had fully closed.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asked whether it would be appropriate to seek osteopathic treatment for the pre-existing right lower-limb problem.</w:t>
      </w:r>
    </w:p>
    <w:p>
      <w:pPr>
        <w:ind w:left="360" w:hanging="180"/>
        <w:spacing w:after="40"/>
      </w:pPr>
      <w:r>
        <w:t xml:space="preserve">• </w:t>
      </w:r>
      <w:r>
        <w:t xml:space="preserve">According to the patient's recollection, the GP advised against seeking osteopathic treatment at that time.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recalls the GP saying that the acute low-back pain and the pre-existing right lower-limb problem might be related, and advising the patient to continue waiting for MSK assessment.</w:t>
      </w:r>
    </w:p>
    <w:p>
      <w:r>
        <w:t xml:space="preserve"/>
      </w:r>
    </w:p>
    <w:p>
      <w:pPr>
        <w:spacing w:before="120" w:after="80"/>
      </w:pPr>
      <w:bookmarkStart w:id="12" w:name="patient_reported_observation_100_timing_"/>
      <w:r>
        <w:rPr>
          <w:b/>
          <w:sz w:val="32"/>
          <w:szCs w:val="32"/>
        </w:rPr>
        <w:t xml:space="preserve">Patient-reported observation: 100% timing synchrony between pain and lift movement pattern</w:t>
      </w:r>
      <w:bookmarkEnd w:id="12"/>
    </w:p>
    <w:p>
      <w:r>
        <w:t xml:space="preserve"/>
      </w:r>
    </w:p>
    <w:p>
      <w:r>
        <w:t xml:space="preserve">During the acute low-back-pain episode on the day of UTC attendance, the patient observed what they perceived as </w:t>
      </w:r>
      <w:r>
        <w:rPr>
          <w:b/>
        </w:rPr>
        <w:t xml:space="preserve">100% time synchrony</w:t>
      </w:r>
      <w:r>
        <w:t xml:space="preserve"> between the lift's movement pattern and low-back-pain intensity.</w:t>
      </w:r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At rest, there was already a persistent baseline level of low-back pain.</w:t>
      </w:r>
    </w:p>
    <w:p>
      <w:pPr>
        <w:ind w:left="360" w:hanging="180"/>
        <w:spacing w:after="40"/>
      </w:pPr>
      <w:r>
        <w:t xml:space="preserve">• </w:t>
      </w:r>
      <w:r>
        <w:t xml:space="preserve">When the lift changed from stationary to moving, the pain rose at the same time from baseline to </w:t>
      </w:r>
      <w:r>
        <w:rPr>
          <w:b/>
        </w:rPr>
        <w:t xml:space="preserve">exactly twice baseline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While the lift remained in sustained motion, the pain remained at </w:t>
      </w:r>
      <w:r>
        <w:rPr>
          <w:b/>
        </w:rPr>
        <w:t xml:space="preserve">exactly twice baseline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When the lift slowed and stopped, the pain fell at the same time and returned to the baseline resting level.</w:t>
      </w:r>
    </w:p>
    <w:p>
      <w:r>
        <w:t xml:space="preserve"/>
      </w:r>
    </w:p>
    <w:p>
      <w:r>
        <w:t xml:space="preserve">The patient did not measure lift speed, acceleration, or time intervals.</w:t>
      </w:r>
    </w:p>
    <w:p>
      <w:r>
        <w:t xml:space="preserve"/>
      </w:r>
    </w:p>
    <w:p>
      <w:r>
        <w:t xml:space="preserve">The diagram below is intentionally schematic and uses the original strong visual form to show the reported synchrony. It does </w:t>
      </w:r>
      <w:r>
        <w:rPr>
          <w:b/>
        </w:rPr>
        <w:t xml:space="preserve">not</w:t>
      </w:r>
      <w:r>
        <w:t xml:space="preserve"> provide a physical measurement, establish a mechanism, or state a diagnosis.</w:t>
      </w:r>
    </w:p>
    <w:p>
      <w:r>
        <w:t xml:space="preserve"/>
      </w:r>
    </w:p>
    <w:p>
      <w:r>
        <w:t xml:space="preserve">Patient-reported pain vs. lift movement pattern (UTC day)</w:t>
      </w:r>
      <w:r>
        <w:br/>
      </w:r>
      <w:r>
        <w:t xml:space="preserve">Schematic only: actual lift speed and acceleration were not measured.</w:t>
      </w:r>
      <w:r>
        <w:br/>
      </w:r>
      <w:r>
        <w:t xml:space="preserve">The patient perceived the two curves as showing 100% time synchrony.</w:t>
      </w:r>
      <w:r>
        <w:br/>
      </w:r>
      <w:r>
        <w:t xml:space="preserve"/>
      </w:r>
      <w:r>
        <w:br/>
      </w:r>
      <w:r>
        <w:t xml:space="preserve">Pain level</w:t>
      </w:r>
      <w:r>
        <w:br/>
      </w:r>
      <w:r>
        <w:t xml:space="preserve">  ▲</w:t>
      </w:r>
      <w:r>
        <w:br/>
      </w:r>
      <w:r>
        <w:t xml:space="preserve">2× baseline ┼            [=============================]  &lt;-- Phase II: lift in sustained motion</w:t>
      </w:r>
      <w:r>
        <w:br/>
      </w:r>
      <w:r>
        <w:t xml:space="preserve">            │           /                               \      pain remained exactly 2× baseline</w:t>
      </w:r>
      <w:r>
        <w:br/>
      </w:r>
      <w:r>
        <w:t xml:space="preserve">            │          /                                 \</w:t>
      </w:r>
      <w:r>
        <w:br/>
      </w:r>
      <w:r>
        <w:t xml:space="preserve">            │         /                                   \</w:t>
      </w:r>
      <w:r>
        <w:br/>
      </w:r>
      <w:r>
        <w:t xml:space="preserve">            │        /                                     \ &lt;-- Phase III: lift slowed to a stop</w:t>
      </w:r>
      <w:r>
        <w:br/>
      </w:r>
      <w:r>
        <w:t xml:space="preserve">            │       /                                       \     pain returned to baseline at the same time</w:t>
      </w:r>
      <w:r>
        <w:br/>
      </w:r>
      <w:r>
        <w:t xml:space="preserve">1× baseline ┼───────▲───────────────────────────────────────└───► Time</w:t>
      </w:r>
      <w:r>
        <w:br/>
      </w:r>
      <w:r>
        <w:t xml:space="preserve">            │  Phase I: lift changed from stationary to moving</w:t>
      </w:r>
      <w:r>
        <w:br/>
      </w:r>
      <w:r>
        <w:t xml:space="preserve">            │  pain rose from baseline to exactly 2× baseline at the same time</w:t>
      </w:r>
      <w:r>
        <w:br/>
      </w:r>
      <w:r>
        <w:t xml:space="preserve">            │</w:t>
      </w:r>
      <w:r>
        <w:br/>
      </w:r>
      <w:r>
        <w:t xml:space="preserve">            └────────────────────────────────────────────────────</w:t>
      </w:r>
      <w:r>
        <w:br/>
      </w:r>
      <w:r>
        <w:t xml:space="preserve"/>
      </w:r>
      <w:r>
        <w:br/>
      </w:r>
      <w:r>
        <w:t xml:space="preserve">Lift movement pattern represented by the same schematic curve:</w:t>
      </w:r>
      <w:r>
        <w:br/>
      </w:r>
      <w:r>
        <w:t xml:space="preserve">stationary -&gt; transition to moving -&gt; sustained motion at unknown speed -&gt; slowing -&gt; stopped</w:t>
      </w:r>
      <w:r>
        <w:br/>
      </w:r>
      <w:r>
        <w:t xml:space="preserve"/>
      </w:r>
      <w:r>
        <w:br/>
      </w:r>
      <w:r>
        <w:t xml:space="preserve">Key point: the visual similarity is deliberate. It records the patient's report</w:t>
      </w:r>
      <w:r>
        <w:br/>
      </w:r>
      <w:r>
        <w:t xml:space="preserve">that the pain curve and the lift movement pattern appeared to show 100% time synchrony.</w:t>
      </w:r>
    </w:p>
    <w:p>
      <w:r>
        <w:t xml:space="preserve"/>
      </w:r>
    </w:p>
    <w:p>
      <w:pPr>
        <w:spacing w:before="120" w:after="80"/>
      </w:pPr>
      <w:bookmarkStart w:id="13" w:name="other_hand_history_reported_by_the_patie"/>
      <w:r>
        <w:rPr>
          <w:b/>
          <w:sz w:val="32"/>
          <w:szCs w:val="32"/>
        </w:rPr>
        <w:t xml:space="preserve">Other hand history reported by the patient</w:t>
      </w:r>
      <w:bookmarkEnd w:id="13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The patient later experienced recurrent skin changes affecting the dorsum of the hand.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reports using </w:t>
      </w:r>
      <w:r>
        <w:rPr>
          <w:b/>
        </w:rPr>
        <w:t xml:space="preserve">Elocon 0.1% w/w ointment</w:t>
      </w:r>
      <w:r>
        <w:t xml:space="preserve"> for these episodes.</w:t>
      </w:r>
    </w:p>
    <w:p>
      <w:pPr>
        <w:ind w:left="360" w:hanging="180"/>
        <w:spacing w:after="40"/>
      </w:pPr>
      <w:r>
        <w:t xml:space="preserve">• </w:t>
      </w:r>
      <w:r>
        <w:t xml:space="preserve">Further details are provided in the </w:t>
      </w:r>
      <w:r>
        <w:rPr>
          <w:b/>
        </w:rPr>
        <w:t xml:space="preserve">Recurrent Hand Skin Changes and Suspected Naproxen Medicine Reaction Record</w:t>
      </w:r>
      <w:r>
        <w:t xml:space="preserve">.</w:t>
      </w:r>
    </w:p>
    <w:p>
      <w:pPr>
        <w:ind w:left="360" w:hanging="180"/>
        <w:spacing w:after="40"/>
      </w:pPr>
      <w:r>
        <w:t xml:space="preserve">• </w:t>
      </w:r>
      <w:r>
        <w:t xml:space="preserve">No causal relationship between these skin changes and the acute low-back-pain episode is asserted.</w:t>
      </w:r>
    </w:p>
    <w:p>
      <w:r>
        <w:t xml:space="preserve"/>
      </w:r>
    </w:p>
    <w:p>
      <w:pPr>
        <w:spacing w:before="120" w:after="80"/>
      </w:pPr>
      <w:bookmarkStart w:id="14" w:name="questions_requests"/>
      <w:r>
        <w:rPr>
          <w:b/>
          <w:sz w:val="36"/>
          <w:szCs w:val="36"/>
        </w:rPr>
        <w:t xml:space="preserve">Questions / Requests</w:t>
      </w:r>
      <w:bookmarkEnd w:id="14"/>
    </w:p>
    <w:p>
      <w:r>
        <w:t xml:space="preserve"/>
      </w:r>
    </w:p>
    <w:p>
      <w:pPr>
        <w:spacing w:before="120" w:after="80"/>
      </w:pPr>
      <w:bookmarkStart w:id="15" w:name="information_for_the_msk_clinician"/>
      <w:r>
        <w:rPr>
          <w:b/>
          <w:sz w:val="32"/>
          <w:szCs w:val="32"/>
        </w:rPr>
        <w:t xml:space="preserve">Information for the MSK clinician</w:t>
      </w:r>
      <w:bookmarkEnd w:id="15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This record is provided because the patient recalls that a GP considered the acute low-back pain and pre-existing right lower-limb symptoms might be related.</w:t>
      </w:r>
    </w:p>
    <w:p>
      <w:pPr>
        <w:ind w:left="360" w:hanging="180"/>
        <w:spacing w:after="40"/>
      </w:pPr>
      <w:r>
        <w:t xml:space="preserve">• </w:t>
      </w:r>
      <w:r>
        <w:t xml:space="preserve">The patient would appreciate the MSK clinician's opinion on whether this acute episode is relevant to the ongoing assessment.</w:t>
      </w:r>
    </w:p>
    <w:p>
      <w:pPr>
        <w:ind w:left="360" w:hanging="180"/>
        <w:spacing w:after="40"/>
      </w:pPr>
      <w:r>
        <w:t xml:space="preserve">• </w:t>
      </w:r>
      <w:r>
        <w:t xml:space="preserve">The </w:t>
      </w:r>
      <w:r>
        <w:rPr>
          <w:b/>
        </w:rPr>
        <w:t xml:space="preserve">Long-Term Health Timeline</w:t>
      </w:r>
      <w:r>
        <w:t xml:space="preserve"> should be read for the full course of the right lower-limb / knee symptoms.</w:t>
      </w:r>
    </w:p>
    <w:p>
      <w:r>
        <w:t xml:space="preserve"/>
      </w:r>
    </w:p>
    <w:p>
      <w:pPr>
        <w:spacing w:before="120" w:after="80"/>
      </w:pPr>
      <w:bookmarkStart w:id="16" w:name="notes"/>
      <w:r>
        <w:rPr>
          <w:b/>
          <w:sz w:val="36"/>
          <w:szCs w:val="36"/>
        </w:rPr>
        <w:t xml:space="preserve">Notes</w:t>
      </w:r>
      <w:bookmarkEnd w:id="16"/>
    </w:p>
    <w:p>
      <w:r>
        <w:t xml:space="preserve"/>
      </w:r>
    </w:p>
    <w:p>
      <w:pPr>
        <w:spacing w:before="120" w:after="80"/>
      </w:pPr>
      <w:bookmarkStart w:id="17" w:name="records_that_may_help_verify_dates_or_tr"/>
      <w:r>
        <w:rPr>
          <w:b/>
          <w:sz w:val="32"/>
          <w:szCs w:val="32"/>
        </w:rPr>
        <w:t xml:space="preserve">Records that may help verify dates or treatment</w:t>
      </w:r>
      <w:bookmarkEnd w:id="17"/>
    </w:p>
    <w:p>
      <w:r>
        <w:t xml:space="preserve"/>
      </w:r>
    </w:p>
    <w:p>
      <w:pPr>
        <w:ind w:left="360" w:hanging="180"/>
        <w:spacing w:after="40"/>
      </w:pPr>
      <w:r>
        <w:t xml:space="preserve">• </w:t>
      </w:r>
      <w:r>
        <w:t xml:space="preserve">UTC prescription labels dated 23 February 2026.</w:t>
      </w:r>
    </w:p>
    <w:p>
      <w:pPr>
        <w:ind w:left="360" w:hanging="180"/>
        <w:spacing w:after="40"/>
      </w:pPr>
      <w:r>
        <w:t xml:space="preserve">• </w:t>
      </w:r>
      <w:r>
        <w:t xml:space="preserve">GP medication record or prescription history.</w:t>
      </w:r>
    </w:p>
    <w:p>
      <w:pPr>
        <w:ind w:left="360" w:hanging="180"/>
        <w:spacing w:after="40"/>
      </w:pPr>
      <w:r>
        <w:t xml:space="preserve">• </w:t>
      </w:r>
      <w:r>
        <w:t xml:space="preserve">Any MIU, UTC, or GP consultation records.</w:t>
      </w:r>
    </w:p>
    <w:p>
      <w:pPr>
        <w:ind w:left="360" w:hanging="180"/>
        <w:spacing w:after="40"/>
      </w:pPr>
      <w:r>
        <w:t xml:space="preserve">• </w:t>
      </w:r>
      <w:r>
        <w:t xml:space="preserve">Photographs of the hand wound, if retained.</w:t>
      </w:r>
    </w:p>
    <w:p>
      <w:r>
        <w:t xml:space="preserve"/>
      </w:r>
    </w:p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
  xmlns="http://schemas.openxmlformats.org/package/2006/relationships"
>

</Relationships>
</file>